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891EC">
      <w:pPr>
        <w:spacing w:line="360" w:lineRule="auto"/>
        <w:rPr>
          <w:bCs/>
          <w:sz w:val="32"/>
          <w:szCs w:val="32"/>
        </w:rPr>
      </w:pPr>
      <w:r>
        <w:rPr>
          <w:rFonts w:hint="eastAsia"/>
          <w:bCs/>
          <w:sz w:val="32"/>
          <w:szCs w:val="32"/>
        </w:rPr>
        <w:t xml:space="preserve">      </w:t>
      </w:r>
    </w:p>
    <w:p w14:paraId="61938BF9">
      <w:pPr>
        <w:spacing w:line="360" w:lineRule="auto"/>
        <w:jc w:val="center"/>
        <w:rPr>
          <w:b/>
          <w:sz w:val="32"/>
          <w:szCs w:val="32"/>
        </w:rPr>
      </w:pPr>
    </w:p>
    <w:p w14:paraId="53650483">
      <w:pPr>
        <w:spacing w:line="360" w:lineRule="auto"/>
        <w:jc w:val="center"/>
        <w:rPr>
          <w:b/>
          <w:sz w:val="32"/>
          <w:szCs w:val="32"/>
        </w:rPr>
      </w:pPr>
    </w:p>
    <w:p w14:paraId="3D6AC443">
      <w:pPr>
        <w:pStyle w:val="2"/>
        <w:jc w:val="center"/>
        <w:rPr>
          <w:rFonts w:hint="eastAsia" w:ascii="Calibri" w:hAnsi="宋体" w:eastAsia="宋体" w:cs="Times New Roman"/>
          <w:b/>
          <w:bCs/>
          <w:color w:val="000000"/>
          <w:spacing w:val="-8"/>
          <w:sz w:val="52"/>
          <w:szCs w:val="52"/>
        </w:rPr>
      </w:pPr>
      <w:bookmarkStart w:id="0" w:name="_Toc169605877"/>
      <w:r>
        <w:rPr>
          <w:rFonts w:hint="eastAsia" w:ascii="Calibri" w:hAnsi="宋体" w:eastAsia="宋体" w:cs="Times New Roman"/>
          <w:b/>
          <w:bCs/>
          <w:color w:val="000000"/>
          <w:spacing w:val="-8"/>
          <w:sz w:val="52"/>
          <w:szCs w:val="52"/>
        </w:rPr>
        <w:t>中国重汽集团</w:t>
      </w:r>
      <w:r>
        <w:rPr>
          <w:rFonts w:hint="eastAsia" w:ascii="Calibri" w:eastAsia="宋体" w:cs="Times New Roman"/>
          <w:b/>
          <w:bCs/>
          <w:color w:val="000000"/>
          <w:spacing w:val="-8"/>
          <w:sz w:val="52"/>
          <w:szCs w:val="52"/>
          <w:lang w:val="en-US" w:eastAsia="zh-CN"/>
        </w:rPr>
        <w:t>杭州发动机</w:t>
      </w:r>
      <w:r>
        <w:rPr>
          <w:rFonts w:hint="eastAsia" w:ascii="Calibri" w:hAnsi="宋体" w:eastAsia="宋体" w:cs="Times New Roman"/>
          <w:b/>
          <w:bCs/>
          <w:color w:val="000000"/>
          <w:spacing w:val="-8"/>
          <w:sz w:val="52"/>
          <w:szCs w:val="52"/>
        </w:rPr>
        <w:t>有限公司</w:t>
      </w:r>
    </w:p>
    <w:p w14:paraId="25CACADA">
      <w:pPr>
        <w:pStyle w:val="2"/>
        <w:jc w:val="center"/>
        <w:rPr>
          <w:rFonts w:hint="eastAsia" w:ascii="Calibri" w:hAnsi="宋体" w:eastAsia="宋体" w:cs="Times New Roman"/>
          <w:b/>
          <w:bCs/>
          <w:color w:val="000000"/>
          <w:spacing w:val="-8"/>
          <w:sz w:val="52"/>
          <w:szCs w:val="52"/>
        </w:rPr>
      </w:pPr>
      <w:r>
        <w:rPr>
          <w:rFonts w:hint="eastAsia" w:ascii="Calibri" w:eastAsia="宋体" w:cs="Times New Roman"/>
          <w:b/>
          <w:bCs/>
          <w:color w:val="000000"/>
          <w:spacing w:val="-8"/>
          <w:sz w:val="52"/>
          <w:szCs w:val="52"/>
          <w:lang w:val="en-US" w:eastAsia="zh-CN"/>
        </w:rPr>
        <w:t>新增高低温试验箱</w:t>
      </w:r>
      <w:r>
        <w:rPr>
          <w:rFonts w:hint="eastAsia" w:ascii="Calibri" w:hAnsi="宋体" w:eastAsia="宋体" w:cs="Times New Roman"/>
          <w:b/>
          <w:bCs/>
          <w:color w:val="000000"/>
          <w:spacing w:val="-8"/>
          <w:sz w:val="52"/>
          <w:szCs w:val="52"/>
        </w:rPr>
        <w:t xml:space="preserve">项目 </w:t>
      </w:r>
    </w:p>
    <w:p w14:paraId="6546DBBA">
      <w:pPr>
        <w:pStyle w:val="2"/>
        <w:jc w:val="center"/>
        <w:rPr>
          <w:rFonts w:hint="eastAsia" w:ascii="Calibri" w:hAnsi="宋体" w:eastAsia="宋体" w:cs="Times New Roman"/>
          <w:b/>
          <w:bCs/>
          <w:color w:val="000000"/>
          <w:spacing w:val="-8"/>
          <w:sz w:val="52"/>
          <w:szCs w:val="52"/>
        </w:rPr>
      </w:pPr>
    </w:p>
    <w:p w14:paraId="1A82CF03">
      <w:pPr>
        <w:jc w:val="center"/>
        <w:rPr>
          <w:rFonts w:ascii="黑体" w:hAnsi="宋体" w:eastAsia="黑体" w:cs="Times New Roman"/>
          <w:color w:val="000000"/>
          <w:sz w:val="72"/>
          <w:szCs w:val="72"/>
        </w:rPr>
      </w:pPr>
      <w:r>
        <w:rPr>
          <w:rFonts w:hint="eastAsia" w:ascii="黑体" w:hAnsi="宋体" w:eastAsia="宋体" w:cs="Times New Roman"/>
          <w:color w:val="000000"/>
          <w:sz w:val="72"/>
          <w:szCs w:val="72"/>
        </w:rPr>
        <w:t>技</w:t>
      </w:r>
    </w:p>
    <w:p w14:paraId="7545FE7B">
      <w:pPr>
        <w:jc w:val="center"/>
        <w:rPr>
          <w:rFonts w:ascii="黑体" w:hAnsi="宋体" w:eastAsia="黑体" w:cs="Times New Roman"/>
          <w:color w:val="000000"/>
          <w:sz w:val="72"/>
          <w:szCs w:val="72"/>
        </w:rPr>
      </w:pPr>
      <w:r>
        <w:rPr>
          <w:rFonts w:hint="eastAsia" w:ascii="黑体" w:hAnsi="宋体" w:eastAsia="宋体" w:cs="Times New Roman"/>
          <w:color w:val="000000"/>
          <w:sz w:val="72"/>
          <w:szCs w:val="72"/>
        </w:rPr>
        <w:t>术</w:t>
      </w:r>
    </w:p>
    <w:p w14:paraId="1531C73C">
      <w:pPr>
        <w:jc w:val="center"/>
        <w:rPr>
          <w:rFonts w:ascii="黑体" w:hAnsi="宋体" w:eastAsia="黑体" w:cs="Times New Roman"/>
          <w:color w:val="000000"/>
          <w:sz w:val="72"/>
          <w:szCs w:val="72"/>
        </w:rPr>
      </w:pPr>
      <w:r>
        <w:rPr>
          <w:rFonts w:hint="eastAsia" w:ascii="黑体" w:hAnsi="宋体" w:eastAsia="宋体" w:cs="Times New Roman"/>
          <w:color w:val="000000"/>
          <w:sz w:val="72"/>
          <w:szCs w:val="72"/>
        </w:rPr>
        <w:t>标</w:t>
      </w:r>
    </w:p>
    <w:p w14:paraId="261014DB">
      <w:pPr>
        <w:jc w:val="center"/>
        <w:rPr>
          <w:rFonts w:ascii="黑体" w:hAnsi="宋体" w:eastAsia="黑体" w:cs="Times New Roman"/>
          <w:color w:val="000000"/>
          <w:sz w:val="72"/>
          <w:szCs w:val="72"/>
        </w:rPr>
      </w:pPr>
      <w:r>
        <w:rPr>
          <w:rFonts w:hint="eastAsia" w:ascii="黑体" w:hAnsi="宋体" w:eastAsia="宋体" w:cs="Times New Roman"/>
          <w:color w:val="000000"/>
          <w:sz w:val="72"/>
          <w:szCs w:val="72"/>
        </w:rPr>
        <w:t>书</w:t>
      </w:r>
    </w:p>
    <w:p w14:paraId="06866311">
      <w:pPr>
        <w:spacing w:line="860" w:lineRule="exact"/>
        <w:ind w:firstLine="1928" w:firstLineChars="600"/>
        <w:rPr>
          <w:rFonts w:hint="default" w:ascii="华文仿宋" w:hAnsi="华文仿宋" w:eastAsia="宋体"/>
          <w:b/>
          <w:bCs/>
          <w:sz w:val="32"/>
          <w:szCs w:val="28"/>
          <w:lang w:val="en-US" w:eastAsia="zh-CN"/>
        </w:rPr>
      </w:pPr>
      <w:r>
        <w:rPr>
          <w:rFonts w:hint="eastAsia" w:ascii="华文仿宋" w:hAnsi="华文仿宋" w:eastAsia="宋体"/>
          <w:b/>
          <w:bCs/>
          <w:sz w:val="32"/>
          <w:szCs w:val="28"/>
        </w:rPr>
        <w:t>编制</w:t>
      </w:r>
      <w:r>
        <w:rPr>
          <w:rFonts w:hint="eastAsia" w:ascii="华文仿宋" w:hAnsi="华文仿宋" w:eastAsia="宋体"/>
          <w:b/>
          <w:bCs/>
          <w:sz w:val="32"/>
          <w:szCs w:val="28"/>
          <w:lang w:eastAsia="zh-CN"/>
        </w:rPr>
        <w:t>：</w:t>
      </w:r>
      <w:r>
        <w:rPr>
          <w:rFonts w:hint="eastAsia" w:ascii="华文仿宋" w:hAnsi="华文仿宋" w:eastAsia="宋体"/>
          <w:b/>
          <w:bCs/>
          <w:sz w:val="32"/>
          <w:szCs w:val="28"/>
          <w:lang w:val="en-US" w:eastAsia="zh-CN"/>
        </w:rPr>
        <w:t>杨冬冬</w:t>
      </w:r>
    </w:p>
    <w:p w14:paraId="1665E7DC">
      <w:pPr>
        <w:spacing w:line="860" w:lineRule="exact"/>
        <w:ind w:leftChars="900"/>
        <w:rPr>
          <w:rFonts w:hint="default" w:ascii="华文仿宋" w:hAnsi="华文仿宋" w:eastAsia="宋体"/>
          <w:b/>
          <w:bCs/>
          <w:sz w:val="32"/>
          <w:szCs w:val="28"/>
          <w:lang w:val="en-US" w:eastAsia="zh-CN"/>
        </w:rPr>
      </w:pPr>
      <w:r>
        <w:rPr>
          <w:rFonts w:hint="eastAsia" w:ascii="华文仿宋" w:hAnsi="华文仿宋" w:eastAsia="宋体"/>
          <w:b/>
          <w:bCs/>
          <w:sz w:val="32"/>
          <w:szCs w:val="28"/>
          <w:lang w:val="en-US" w:eastAsia="zh-CN"/>
        </w:rPr>
        <w:t>校对：黄温春</w:t>
      </w:r>
    </w:p>
    <w:p w14:paraId="59D1FFFB">
      <w:pPr>
        <w:spacing w:line="860" w:lineRule="exact"/>
        <w:ind w:leftChars="900"/>
        <w:rPr>
          <w:rFonts w:hint="default" w:ascii="华文仿宋" w:hAnsi="华文仿宋" w:eastAsia="宋体"/>
          <w:b w:val="0"/>
          <w:bCs w:val="0"/>
          <w:sz w:val="32"/>
          <w:szCs w:val="28"/>
          <w:lang w:val="en-US" w:eastAsia="zh-CN"/>
        </w:rPr>
      </w:pPr>
      <w:r>
        <w:rPr>
          <w:rFonts w:hint="eastAsia" w:ascii="华文仿宋" w:hAnsi="华文仿宋" w:eastAsia="宋体"/>
          <w:b/>
          <w:bCs/>
          <w:sz w:val="32"/>
          <w:szCs w:val="28"/>
          <w:lang w:val="en-US" w:eastAsia="zh-CN"/>
        </w:rPr>
        <w:t>会签：冯祥兴</w:t>
      </w:r>
    </w:p>
    <w:p w14:paraId="7C38DA01">
      <w:pPr>
        <w:spacing w:line="860" w:lineRule="exact"/>
        <w:ind w:leftChars="900"/>
        <w:rPr>
          <w:rFonts w:hint="default" w:ascii="华文仿宋" w:hAnsi="华文仿宋" w:eastAsia="宋体"/>
          <w:b/>
          <w:bCs/>
          <w:sz w:val="32"/>
          <w:szCs w:val="28"/>
          <w:lang w:val="en-US" w:eastAsia="zh-CN"/>
        </w:rPr>
      </w:pPr>
      <w:r>
        <w:rPr>
          <w:rFonts w:hint="eastAsia" w:ascii="华文仿宋" w:hAnsi="华文仿宋" w:eastAsia="宋体"/>
          <w:b/>
          <w:bCs/>
          <w:sz w:val="32"/>
          <w:szCs w:val="28"/>
        </w:rPr>
        <w:t>审核：</w:t>
      </w:r>
      <w:r>
        <w:rPr>
          <w:rFonts w:hint="eastAsia" w:ascii="华文仿宋" w:hAnsi="华文仿宋" w:eastAsia="宋体"/>
          <w:b/>
          <w:bCs/>
          <w:sz w:val="32"/>
          <w:szCs w:val="28"/>
          <w:lang w:val="en-US" w:eastAsia="zh-CN"/>
        </w:rPr>
        <w:t>钟晓渝</w:t>
      </w:r>
    </w:p>
    <w:p w14:paraId="146A2F80">
      <w:pPr>
        <w:spacing w:line="860" w:lineRule="exact"/>
        <w:ind w:leftChars="900"/>
        <w:rPr>
          <w:rFonts w:hint="default" w:ascii="华文仿宋" w:hAnsi="华文仿宋" w:eastAsia="宋体"/>
          <w:b/>
          <w:bCs/>
          <w:sz w:val="32"/>
          <w:szCs w:val="28"/>
          <w:lang w:val="en-US" w:eastAsia="zh-CN"/>
        </w:rPr>
      </w:pPr>
      <w:r>
        <w:rPr>
          <w:rFonts w:hint="eastAsia" w:ascii="华文仿宋" w:hAnsi="华文仿宋" w:eastAsia="宋体"/>
          <w:b/>
          <w:bCs/>
          <w:sz w:val="32"/>
          <w:szCs w:val="28"/>
        </w:rPr>
        <w:t>批准：</w:t>
      </w:r>
      <w:r>
        <w:rPr>
          <w:rFonts w:hint="eastAsia" w:ascii="华文仿宋" w:hAnsi="华文仿宋" w:eastAsia="宋体"/>
          <w:b/>
          <w:bCs/>
          <w:sz w:val="32"/>
          <w:szCs w:val="28"/>
          <w:lang w:val="en-US" w:eastAsia="zh-CN"/>
        </w:rPr>
        <w:t>姜爱良</w:t>
      </w:r>
    </w:p>
    <w:p w14:paraId="273D6ED2">
      <w:pPr>
        <w:pStyle w:val="2"/>
        <w:rPr>
          <w:rFonts w:hint="eastAsia" w:ascii="华文仿宋" w:hAnsi="华文仿宋" w:eastAsia="华文仿宋"/>
          <w:b/>
          <w:bCs/>
          <w:sz w:val="32"/>
          <w:szCs w:val="28"/>
        </w:rPr>
      </w:pPr>
    </w:p>
    <w:p w14:paraId="62064C6A">
      <w:pPr>
        <w:pStyle w:val="2"/>
        <w:rPr>
          <w:b/>
          <w:bCs/>
        </w:rPr>
      </w:pPr>
    </w:p>
    <w:p w14:paraId="08B6BB8F">
      <w:pPr>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招</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标</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人：中国重汽集团</w:t>
      </w:r>
      <w:r>
        <w:rPr>
          <w:rFonts w:hint="eastAsia" w:ascii="宋体" w:hAnsi="宋体" w:eastAsia="宋体" w:cs="Times New Roman"/>
          <w:color w:val="000000"/>
          <w:sz w:val="28"/>
          <w:szCs w:val="28"/>
          <w:lang w:val="en-US" w:eastAsia="zh-CN"/>
        </w:rPr>
        <w:t>杭州发动机</w:t>
      </w:r>
      <w:r>
        <w:rPr>
          <w:rFonts w:hint="eastAsia" w:ascii="宋体" w:hAnsi="宋体" w:eastAsia="宋体" w:cs="Times New Roman"/>
          <w:color w:val="000000"/>
          <w:sz w:val="28"/>
          <w:szCs w:val="28"/>
        </w:rPr>
        <w:t>有限公司</w:t>
      </w:r>
    </w:p>
    <w:p w14:paraId="54CFD5C9">
      <w:pPr>
        <w:jc w:val="center"/>
        <w:rPr>
          <w:rFonts w:ascii="Calibri" w:hAnsi="Calibri" w:eastAsia="宋体" w:cs="Times New Roman"/>
          <w:b/>
          <w:bCs/>
          <w:kern w:val="44"/>
          <w:sz w:val="36"/>
          <w:szCs w:val="44"/>
        </w:rPr>
      </w:pPr>
      <w:r>
        <w:rPr>
          <w:rFonts w:ascii="Calibri" w:hAnsi="Calibri" w:eastAsia="宋体" w:cs="Times New Roman"/>
          <w:color w:val="000000"/>
          <w:sz w:val="28"/>
          <w:szCs w:val="28"/>
        </w:rPr>
        <w:t>202</w:t>
      </w:r>
      <w:r>
        <w:rPr>
          <w:rFonts w:hint="eastAsia" w:ascii="Calibri" w:hAnsi="Calibri" w:eastAsia="宋体" w:cs="Times New Roman"/>
          <w:color w:val="000000"/>
          <w:sz w:val="28"/>
          <w:szCs w:val="28"/>
        </w:rPr>
        <w:t>4</w:t>
      </w:r>
      <w:r>
        <w:rPr>
          <w:rFonts w:hint="eastAsia" w:ascii="宋体" w:hAnsi="宋体" w:eastAsia="宋体" w:cs="Times New Roman"/>
          <w:color w:val="000000"/>
          <w:sz w:val="28"/>
          <w:szCs w:val="28"/>
        </w:rPr>
        <w:t>年</w:t>
      </w:r>
      <w:r>
        <w:rPr>
          <w:rFonts w:hint="eastAsia" w:ascii="Calibri" w:hAnsi="Calibri" w:eastAsia="宋体" w:cs="Times New Roman"/>
          <w:color w:val="000000"/>
          <w:sz w:val="28"/>
          <w:szCs w:val="28"/>
          <w:lang w:val="en-US" w:eastAsia="zh-CN"/>
        </w:rPr>
        <w:t>11</w:t>
      </w:r>
      <w:r>
        <w:rPr>
          <w:rFonts w:hint="eastAsia" w:ascii="Calibri" w:hAnsi="Calibri" w:eastAsia="宋体" w:cs="Times New Roman"/>
          <w:color w:val="000000"/>
          <w:sz w:val="28"/>
          <w:szCs w:val="28"/>
        </w:rPr>
        <w:t>月</w:t>
      </w:r>
    </w:p>
    <w:p w14:paraId="65A551E2">
      <w:pPr>
        <w:spacing w:line="360" w:lineRule="auto"/>
        <w:rPr>
          <w:rFonts w:ascii="宋体" w:hAnsi="宋体" w:eastAsia="宋体" w:cs="Times New Roman"/>
          <w:b/>
          <w:sz w:val="36"/>
          <w:szCs w:val="36"/>
        </w:rPr>
        <w:sectPr>
          <w:headerReference r:id="rId3" w:type="default"/>
          <w:footerReference r:id="rId4" w:type="default"/>
          <w:pgSz w:w="11907" w:h="16840"/>
          <w:pgMar w:top="1304" w:right="1418" w:bottom="1304" w:left="1418" w:header="724" w:footer="851" w:gutter="0"/>
          <w:pgNumType w:fmt="numberInDash"/>
          <w:cols w:space="720" w:num="1"/>
          <w:docGrid w:linePitch="290" w:charSpace="-3931"/>
        </w:sectPr>
      </w:pPr>
    </w:p>
    <w:p w14:paraId="4CE7AED5"/>
    <w:p w14:paraId="72E00B6F">
      <w:pPr>
        <w:keepNext/>
        <w:keepLines/>
        <w:spacing w:before="120" w:after="120" w:line="480" w:lineRule="exact"/>
        <w:jc w:val="center"/>
        <w:outlineLvl w:val="1"/>
        <w:rPr>
          <w:rFonts w:ascii="宋体" w:hAnsi="Calibri" w:eastAsia="宋体" w:cs="Times New Roman"/>
          <w:b/>
          <w:bCs/>
          <w:kern w:val="44"/>
          <w:sz w:val="28"/>
          <w:szCs w:val="28"/>
        </w:rPr>
      </w:pPr>
      <w:r>
        <w:rPr>
          <w:rFonts w:hint="eastAsia" w:ascii="宋体" w:hAnsi="宋体" w:eastAsia="宋体" w:cs="Times New Roman"/>
          <w:b/>
          <w:bCs/>
          <w:kern w:val="44"/>
          <w:sz w:val="28"/>
          <w:szCs w:val="28"/>
        </w:rPr>
        <w:t>第一章</w:t>
      </w:r>
      <w:r>
        <w:rPr>
          <w:rFonts w:ascii="宋体" w:hAnsi="宋体" w:eastAsia="宋体" w:cs="Times New Roman"/>
          <w:b/>
          <w:bCs/>
          <w:kern w:val="44"/>
          <w:sz w:val="28"/>
          <w:szCs w:val="28"/>
        </w:rPr>
        <w:t xml:space="preserve">  </w:t>
      </w:r>
      <w:r>
        <w:rPr>
          <w:rFonts w:hint="eastAsia" w:ascii="宋体" w:hAnsi="宋体" w:eastAsia="宋体" w:cs="Times New Roman"/>
          <w:b/>
          <w:bCs/>
          <w:kern w:val="44"/>
          <w:sz w:val="28"/>
          <w:szCs w:val="28"/>
        </w:rPr>
        <w:t>采购货物概况</w:t>
      </w:r>
    </w:p>
    <w:p w14:paraId="4D68C713">
      <w:pPr>
        <w:keepNext/>
        <w:keepLines/>
        <w:spacing w:before="120" w:after="120" w:line="480" w:lineRule="exact"/>
        <w:jc w:val="center"/>
        <w:outlineLvl w:val="2"/>
        <w:rPr>
          <w:rFonts w:hint="eastAsia" w:ascii="黑体" w:hAnsi="黑体" w:eastAsia="黑体" w:cs="黑体"/>
          <w:b w:val="0"/>
          <w:bCs w:val="0"/>
          <w:sz w:val="24"/>
          <w:szCs w:val="24"/>
        </w:rPr>
      </w:pPr>
      <w:r>
        <w:rPr>
          <w:rFonts w:hint="eastAsia" w:ascii="黑体" w:hAnsi="黑体" w:eastAsia="宋体" w:cs="黑体"/>
          <w:b w:val="0"/>
          <w:bCs w:val="0"/>
          <w:sz w:val="24"/>
          <w:szCs w:val="24"/>
        </w:rPr>
        <w:t>第一节  使用环境</w:t>
      </w:r>
    </w:p>
    <w:p w14:paraId="4C83C25D">
      <w:pPr>
        <w:spacing w:line="360" w:lineRule="auto"/>
        <w:rPr>
          <w:rFonts w:hint="eastAsia"/>
          <w:sz w:val="24"/>
          <w:szCs w:val="24"/>
        </w:rPr>
      </w:pPr>
      <w:r>
        <w:rPr>
          <w:rFonts w:hint="eastAsia"/>
          <w:sz w:val="24"/>
          <w:szCs w:val="24"/>
        </w:rPr>
        <w:t>一、项目名称：</w:t>
      </w:r>
      <w:r>
        <w:rPr>
          <w:rFonts w:hint="eastAsia"/>
          <w:sz w:val="24"/>
          <w:szCs w:val="24"/>
          <w:u w:val="single"/>
        </w:rPr>
        <w:t>新增高低温试验箱项目</w:t>
      </w:r>
    </w:p>
    <w:p w14:paraId="31668608">
      <w:pPr>
        <w:spacing w:line="360" w:lineRule="auto"/>
        <w:rPr>
          <w:rFonts w:hint="default" w:ascii="宋体" w:hAnsi="宋体" w:eastAsia="宋体" w:cs="Times New Roman"/>
          <w:sz w:val="24"/>
          <w:szCs w:val="24"/>
          <w:lang w:val="en-US" w:eastAsia="zh-CN"/>
        </w:rPr>
      </w:pPr>
      <w:r>
        <w:rPr>
          <w:rFonts w:hint="eastAsia" w:ascii="黑体" w:hAnsi="宋体" w:eastAsia="宋体" w:cs="Times New Roman"/>
          <w:sz w:val="24"/>
          <w:szCs w:val="24"/>
        </w:rPr>
        <w:t>二、建设地点：</w:t>
      </w:r>
      <w:r>
        <w:rPr>
          <w:rFonts w:hint="eastAsia" w:ascii="宋体" w:hAnsi="宋体" w:eastAsia="宋体" w:cs="Times New Roman"/>
          <w:sz w:val="24"/>
          <w:szCs w:val="24"/>
          <w:u w:val="single"/>
          <w:lang w:val="en-US" w:eastAsia="zh-CN"/>
        </w:rPr>
        <w:t>杭州市萧山经济技术开发区红泰六路699号</w:t>
      </w:r>
    </w:p>
    <w:p w14:paraId="70053E29">
      <w:pPr>
        <w:spacing w:line="480" w:lineRule="exact"/>
        <w:rPr>
          <w:rFonts w:ascii="宋体" w:hAnsi="宋体" w:eastAsia="宋体" w:cs="Times New Roman"/>
          <w:sz w:val="24"/>
          <w:szCs w:val="24"/>
          <w:u w:val="single"/>
          <w:shd w:val="pct10" w:color="auto" w:fill="FFFFFF"/>
        </w:rPr>
      </w:pPr>
      <w:r>
        <w:rPr>
          <w:rFonts w:hint="eastAsia" w:ascii="黑体" w:hAnsi="宋体" w:eastAsia="宋体" w:cs="Times New Roman"/>
          <w:sz w:val="24"/>
          <w:szCs w:val="24"/>
        </w:rPr>
        <w:t>三、使用地点：</w:t>
      </w:r>
      <w:r>
        <w:rPr>
          <w:rFonts w:hint="eastAsia" w:ascii="宋体" w:hAnsi="宋体" w:eastAsia="宋体" w:cs="Times New Roman"/>
          <w:sz w:val="24"/>
          <w:szCs w:val="24"/>
          <w:u w:val="single"/>
          <w:lang w:val="en-US" w:eastAsia="zh-CN"/>
        </w:rPr>
        <w:t>杭州</w:t>
      </w:r>
      <w:r>
        <w:rPr>
          <w:rFonts w:hint="eastAsia" w:ascii="宋体" w:hAnsi="宋体" w:eastAsia="宋体" w:cs="Times New Roman"/>
          <w:sz w:val="24"/>
          <w:szCs w:val="24"/>
          <w:u w:val="single"/>
        </w:rPr>
        <w:t>市</w:t>
      </w:r>
      <w:r>
        <w:rPr>
          <w:rFonts w:hint="eastAsia" w:ascii="宋体" w:hAnsi="宋体" w:eastAsia="宋体" w:cs="Times New Roman"/>
          <w:sz w:val="24"/>
          <w:szCs w:val="24"/>
          <w:u w:val="single"/>
          <w:lang w:val="en-US" w:eastAsia="zh-CN"/>
        </w:rPr>
        <w:t>萧山经济技术开发</w:t>
      </w:r>
      <w:r>
        <w:rPr>
          <w:rFonts w:hint="eastAsia" w:ascii="宋体" w:hAnsi="宋体" w:eastAsia="宋体" w:cs="Times New Roman"/>
          <w:sz w:val="24"/>
          <w:szCs w:val="24"/>
          <w:u w:val="single"/>
        </w:rPr>
        <w:t>区</w:t>
      </w:r>
      <w:r>
        <w:rPr>
          <w:rFonts w:hint="eastAsia" w:ascii="宋体" w:hAnsi="宋体" w:eastAsia="宋体" w:cs="Times New Roman"/>
          <w:sz w:val="24"/>
          <w:szCs w:val="24"/>
          <w:u w:val="single"/>
          <w:lang w:val="en-US" w:eastAsia="zh-CN"/>
        </w:rPr>
        <w:t>中国重汽集团杭州发动机</w:t>
      </w:r>
      <w:r>
        <w:rPr>
          <w:rFonts w:hint="eastAsia" w:ascii="宋体" w:hAnsi="宋体" w:eastAsia="宋体" w:cs="Times New Roman"/>
          <w:sz w:val="24"/>
          <w:szCs w:val="24"/>
          <w:u w:val="single"/>
        </w:rPr>
        <w:t>有限公司</w:t>
      </w:r>
    </w:p>
    <w:p w14:paraId="230F4FA0">
      <w:pPr>
        <w:spacing w:line="480" w:lineRule="exact"/>
        <w:rPr>
          <w:rFonts w:hint="eastAsia" w:ascii="宋体" w:hAnsi="宋体" w:eastAsia="宋体" w:cs="Times New Roman"/>
          <w:sz w:val="24"/>
          <w:szCs w:val="24"/>
          <w:highlight w:val="none"/>
          <w:lang w:eastAsia="zh-CN"/>
        </w:rPr>
      </w:pPr>
      <w:r>
        <w:rPr>
          <w:rFonts w:hint="eastAsia" w:ascii="黑体" w:hAnsi="宋体" w:eastAsia="宋体" w:cs="Times New Roman"/>
          <w:sz w:val="24"/>
          <w:szCs w:val="24"/>
        </w:rPr>
        <w:t>四、工作制度：</w:t>
      </w:r>
      <w:r>
        <w:rPr>
          <w:rFonts w:hint="eastAsia" w:ascii="宋体" w:hAnsi="宋体" w:eastAsia="宋体" w:cs="Times New Roman"/>
          <w:sz w:val="24"/>
          <w:szCs w:val="24"/>
          <w:highlight w:val="none"/>
        </w:rPr>
        <w:t>全年工作</w:t>
      </w:r>
      <w:r>
        <w:rPr>
          <w:rFonts w:hint="eastAsia" w:ascii="仿宋" w:hAnsi="仿宋" w:eastAsia="仿宋" w:cs="仿宋"/>
          <w:sz w:val="28"/>
          <w:szCs w:val="28"/>
          <w:highlight w:val="none"/>
        </w:rPr>
        <w:t>≥</w:t>
      </w:r>
      <w:r>
        <w:rPr>
          <w:rFonts w:hint="eastAsia" w:ascii="宋体" w:hAnsi="宋体" w:eastAsia="宋体" w:cs="Times New Roman"/>
          <w:sz w:val="24"/>
          <w:szCs w:val="24"/>
          <w:highlight w:val="none"/>
        </w:rPr>
        <w:t>250天</w:t>
      </w:r>
    </w:p>
    <w:p w14:paraId="158201C9">
      <w:pPr>
        <w:spacing w:line="480" w:lineRule="exact"/>
        <w:rPr>
          <w:rFonts w:ascii="黑体" w:hAnsi="宋体" w:eastAsia="黑体" w:cs="Times New Roman"/>
          <w:sz w:val="24"/>
          <w:szCs w:val="24"/>
          <w:highlight w:val="none"/>
        </w:rPr>
      </w:pPr>
      <w:r>
        <w:rPr>
          <w:rFonts w:hint="eastAsia" w:ascii="黑体" w:hAnsi="宋体" w:eastAsia="宋体" w:cs="Times New Roman"/>
          <w:sz w:val="24"/>
          <w:szCs w:val="24"/>
          <w:highlight w:val="none"/>
        </w:rPr>
        <w:t>五、</w:t>
      </w:r>
      <w:r>
        <w:rPr>
          <w:rFonts w:hint="eastAsia" w:ascii="黑体" w:hAnsi="宋体" w:eastAsia="宋体" w:cs="Times New Roman"/>
          <w:sz w:val="24"/>
          <w:szCs w:val="24"/>
          <w:highlight w:val="none"/>
          <w:lang w:val="en-US" w:eastAsia="zh-CN"/>
        </w:rPr>
        <w:t>工厂</w:t>
      </w:r>
      <w:r>
        <w:rPr>
          <w:rFonts w:hint="eastAsia" w:ascii="黑体" w:hAnsi="宋体" w:eastAsia="宋体" w:cs="Times New Roman"/>
          <w:sz w:val="24"/>
          <w:szCs w:val="24"/>
          <w:highlight w:val="none"/>
        </w:rPr>
        <w:t>环境：</w:t>
      </w:r>
    </w:p>
    <w:p w14:paraId="61FD3BEE">
      <w:pPr>
        <w:spacing w:line="480" w:lineRule="exact"/>
        <w:ind w:left="1680" w:hanging="1680" w:hangingChars="700"/>
        <w:rPr>
          <w:rFonts w:hint="default" w:ascii="宋体" w:hAnsi="宋体" w:eastAsia="宋体" w:cs="Times New Roman"/>
          <w:b/>
          <w:bCs/>
          <w:sz w:val="24"/>
          <w:szCs w:val="24"/>
          <w:lang w:val="en-US" w:eastAsia="zh-CN"/>
        </w:rPr>
      </w:pPr>
      <w:r>
        <w:rPr>
          <w:rFonts w:hint="eastAsia" w:ascii="宋体" w:hAnsi="宋体" w:eastAsia="宋体" w:cs="Times New Roman"/>
          <w:sz w:val="24"/>
          <w:szCs w:val="24"/>
        </w:rPr>
        <w:t>1、环境温度：</w:t>
      </w:r>
      <w:r>
        <w:rPr>
          <w:rFonts w:ascii="宋体" w:hAnsi="宋体" w:eastAsia="宋体" w:cs="宋体"/>
          <w:sz w:val="24"/>
          <w:szCs w:val="24"/>
        </w:rPr>
        <w:t>室外极端最低温度-19.7℃、极端最高温度42℃，昼夜最大温差25℃；室内温度5～45℃。</w:t>
      </w:r>
    </w:p>
    <w:p w14:paraId="73B0C0E7">
      <w:pPr>
        <w:spacing w:line="48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相对</w:t>
      </w:r>
      <w:r>
        <w:rPr>
          <w:rFonts w:hint="eastAsia" w:ascii="宋体" w:hAnsi="宋体" w:eastAsia="宋体" w:cs="Times New Roman"/>
          <w:sz w:val="24"/>
          <w:szCs w:val="24"/>
        </w:rPr>
        <w:t>湿度：</w:t>
      </w:r>
      <w:r>
        <w:rPr>
          <w:rFonts w:hint="eastAsia" w:ascii="宋体" w:hAnsi="宋体" w:eastAsia="宋体" w:cs="Times New Roman"/>
          <w:sz w:val="24"/>
          <w:szCs w:val="24"/>
          <w:lang w:val="en-US" w:eastAsia="zh-CN"/>
        </w:rPr>
        <w:t>年平均</w:t>
      </w:r>
      <w:r>
        <w:rPr>
          <w:rFonts w:hint="eastAsia" w:ascii="宋体" w:hAnsi="宋体" w:eastAsia="宋体" w:cs="Times New Roman"/>
          <w:sz w:val="24"/>
          <w:szCs w:val="24"/>
        </w:rPr>
        <w:t>湿度</w:t>
      </w:r>
      <w:r>
        <w:rPr>
          <w:rFonts w:hint="eastAsia" w:ascii="宋体" w:hAnsi="宋体" w:eastAsia="宋体" w:cs="Times New Roman"/>
          <w:sz w:val="24"/>
          <w:szCs w:val="24"/>
          <w:lang w:val="en-US" w:eastAsia="zh-CN"/>
        </w:rPr>
        <w:t>59</w:t>
      </w:r>
      <w:r>
        <w:rPr>
          <w:rFonts w:hint="eastAsia" w:ascii="宋体" w:hAnsi="宋体" w:eastAsia="宋体" w:cs="Times New Roman"/>
          <w:sz w:val="24"/>
          <w:szCs w:val="24"/>
        </w:rPr>
        <w:t>％，极端值可达</w:t>
      </w:r>
      <w:r>
        <w:rPr>
          <w:rFonts w:hint="eastAsia" w:ascii="宋体" w:hAnsi="宋体" w:eastAsia="宋体" w:cs="Times New Roman"/>
          <w:sz w:val="24"/>
          <w:szCs w:val="24"/>
          <w:lang w:val="en-US" w:eastAsia="zh-CN"/>
        </w:rPr>
        <w:t>95</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最小15%</w:t>
      </w:r>
    </w:p>
    <w:p w14:paraId="59EEB11A">
      <w:pPr>
        <w:spacing w:line="480" w:lineRule="exact"/>
        <w:rPr>
          <w:rFonts w:hint="eastAsia" w:ascii="宋体" w:hAnsi="宋体" w:eastAsia="宋体" w:cs="Times New Roman"/>
          <w:sz w:val="24"/>
          <w:szCs w:val="24"/>
        </w:rPr>
      </w:pPr>
      <w:r>
        <w:rPr>
          <w:rFonts w:hint="eastAsia" w:ascii="宋体" w:hAnsi="宋体" w:eastAsia="宋体" w:cs="Times New Roman"/>
          <w:sz w:val="24"/>
          <w:szCs w:val="24"/>
        </w:rPr>
        <w:t>3、主电源：</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电压380±15％、频率50±2％Hz</w:t>
      </w:r>
    </w:p>
    <w:p w14:paraId="2756E86A">
      <w:pPr>
        <w:spacing w:line="480" w:lineRule="exact"/>
        <w:rPr>
          <w:rFonts w:hint="eastAsia" w:ascii="宋体" w:hAnsi="宋体" w:eastAsia="宋体" w:cs="Times New Roman"/>
          <w:sz w:val="24"/>
          <w:szCs w:val="24"/>
        </w:rPr>
      </w:pPr>
      <w:r>
        <w:rPr>
          <w:rFonts w:hint="eastAsia" w:ascii="宋体" w:hAnsi="宋体" w:eastAsia="宋体" w:cs="Times New Roman"/>
          <w:sz w:val="24"/>
          <w:szCs w:val="24"/>
        </w:rPr>
        <w:t xml:space="preserve">4、压缩空气：压力0.4～0.6 MPa </w:t>
      </w:r>
    </w:p>
    <w:p w14:paraId="78F7B42D">
      <w:pPr>
        <w:spacing w:line="480" w:lineRule="exact"/>
        <w:rPr>
          <w:rFonts w:hint="eastAsia"/>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、雷区状况：全年平均120天，最多在6月份</w:t>
      </w:r>
    </w:p>
    <w:p w14:paraId="1E3B9E82">
      <w:pPr>
        <w:pStyle w:val="2"/>
        <w:spacing w:line="360" w:lineRule="auto"/>
        <w:rPr>
          <w:rFonts w:hint="eastAsia" w:ascii="宋体" w:hAnsi="宋体" w:eastAsia="宋体" w:cs="Times New Roman"/>
          <w:color w:val="auto"/>
          <w:kern w:val="2"/>
          <w:sz w:val="24"/>
          <w:szCs w:val="24"/>
          <w:lang w:val="en-US" w:eastAsia="zh-CN" w:bidi="ar-SA"/>
        </w:rPr>
      </w:pPr>
      <w:r>
        <w:rPr>
          <w:rFonts w:hint="eastAsia" w:eastAsia="宋体" w:cs="Times New Roman"/>
          <w:color w:val="auto"/>
          <w:kern w:val="2"/>
          <w:sz w:val="24"/>
          <w:szCs w:val="24"/>
          <w:lang w:val="en-US" w:eastAsia="zh-CN" w:bidi="ar-SA"/>
        </w:rPr>
        <w:t>6</w:t>
      </w:r>
      <w:r>
        <w:rPr>
          <w:rFonts w:hint="eastAsia" w:ascii="宋体" w:hAnsi="宋体" w:eastAsia="宋体" w:cs="Times New Roman"/>
          <w:color w:val="auto"/>
          <w:kern w:val="2"/>
          <w:sz w:val="24"/>
          <w:szCs w:val="24"/>
          <w:lang w:val="en-US" w:eastAsia="zh-CN" w:bidi="ar-SA"/>
        </w:rPr>
        <w:t>、降雨量：</w:t>
      </w:r>
      <w:r>
        <w:rPr>
          <w:rFonts w:hint="eastAsia" w:eastAsia="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日最大降雨量300mm、时最大降雨量100mm</w:t>
      </w:r>
    </w:p>
    <w:p w14:paraId="614E582F">
      <w:pPr>
        <w:pStyle w:val="2"/>
        <w:spacing w:line="360" w:lineRule="auto"/>
        <w:rPr>
          <w:rFonts w:hint="eastAsia" w:ascii="宋体" w:hAnsi="宋体" w:eastAsia="宋体" w:cs="Times New Roman"/>
          <w:color w:val="auto"/>
          <w:kern w:val="2"/>
          <w:sz w:val="24"/>
          <w:szCs w:val="24"/>
          <w:lang w:val="en-US" w:eastAsia="zh-CN" w:bidi="ar-SA"/>
        </w:rPr>
      </w:pPr>
      <w:r>
        <w:rPr>
          <w:rFonts w:hint="eastAsia" w:eastAsia="宋体" w:cs="Times New Roman"/>
          <w:color w:val="auto"/>
          <w:kern w:val="2"/>
          <w:sz w:val="24"/>
          <w:szCs w:val="24"/>
          <w:lang w:val="en-US" w:eastAsia="zh-CN" w:bidi="ar-SA"/>
        </w:rPr>
        <w:t>7</w:t>
      </w:r>
      <w:r>
        <w:rPr>
          <w:rFonts w:hint="eastAsia" w:ascii="宋体" w:hAnsi="宋体" w:eastAsia="宋体" w:cs="Times New Roman"/>
          <w:color w:val="auto"/>
          <w:kern w:val="2"/>
          <w:sz w:val="24"/>
          <w:szCs w:val="24"/>
          <w:lang w:val="en-US" w:eastAsia="zh-CN" w:bidi="ar-SA"/>
        </w:rPr>
        <w:t>、最大风速：33.3m/s</w:t>
      </w:r>
    </w:p>
    <w:p w14:paraId="18E8B0C3">
      <w:pPr>
        <w:pStyle w:val="135"/>
        <w:spacing w:line="360" w:lineRule="auto"/>
        <w:ind w:firstLine="0"/>
        <w:rPr>
          <w:rFonts w:ascii="宋体"/>
          <w:sz w:val="24"/>
          <w:szCs w:val="24"/>
        </w:rPr>
      </w:pPr>
      <w:r>
        <w:rPr>
          <w:rFonts w:hint="eastAsia"/>
          <w:sz w:val="24"/>
          <w:szCs w:val="24"/>
        </w:rPr>
        <w:t>六、能源环境：</w:t>
      </w:r>
    </w:p>
    <w:p w14:paraId="216DD52D">
      <w:pPr>
        <w:pStyle w:val="135"/>
        <w:spacing w:line="360" w:lineRule="auto"/>
        <w:rPr>
          <w:sz w:val="24"/>
          <w:szCs w:val="24"/>
        </w:rPr>
      </w:pPr>
      <w:r>
        <w:rPr>
          <w:rFonts w:hint="eastAsia"/>
          <w:sz w:val="24"/>
          <w:szCs w:val="24"/>
        </w:rPr>
        <w:t>1、电力：</w:t>
      </w:r>
      <w:r>
        <w:rPr>
          <w:sz w:val="24"/>
          <w:szCs w:val="24"/>
        </w:rPr>
        <w:t>中国制式，供电电压380V±15%/220V±15%，供电频率50Hz±2%，三相五线。</w:t>
      </w:r>
    </w:p>
    <w:p w14:paraId="0EEAF223">
      <w:pPr>
        <w:pStyle w:val="135"/>
        <w:spacing w:line="360" w:lineRule="auto"/>
        <w:rPr>
          <w:sz w:val="24"/>
          <w:szCs w:val="24"/>
        </w:rPr>
      </w:pPr>
      <w:r>
        <w:rPr>
          <w:rFonts w:hint="eastAsia"/>
          <w:sz w:val="24"/>
          <w:szCs w:val="24"/>
        </w:rPr>
        <w:t>2、</w:t>
      </w:r>
      <w:r>
        <w:rPr>
          <w:sz w:val="24"/>
          <w:szCs w:val="24"/>
        </w:rPr>
        <w:t>加湿用水供水条件：</w:t>
      </w:r>
      <w:r>
        <w:rPr>
          <w:rFonts w:hint="eastAsia"/>
          <w:sz w:val="24"/>
          <w:szCs w:val="24"/>
        </w:rPr>
        <w:t>推荐用</w:t>
      </w:r>
      <w:r>
        <w:rPr>
          <w:sz w:val="24"/>
          <w:szCs w:val="24"/>
        </w:rPr>
        <w:t>纯净水</w:t>
      </w:r>
      <w:r>
        <w:rPr>
          <w:rFonts w:hint="eastAsia"/>
          <w:sz w:val="24"/>
          <w:szCs w:val="24"/>
        </w:rPr>
        <w:t>。</w:t>
      </w:r>
    </w:p>
    <w:p w14:paraId="62997408">
      <w:pPr>
        <w:spacing w:line="360" w:lineRule="auto"/>
        <w:rPr>
          <w:rFonts w:eastAsia="黑体"/>
          <w:sz w:val="24"/>
          <w:szCs w:val="24"/>
        </w:rPr>
      </w:pPr>
      <w:bookmarkStart w:id="1" w:name="_Toc9838"/>
      <w:bookmarkStart w:id="2" w:name="_Toc137705867"/>
      <w:bookmarkStart w:id="3" w:name="_Toc19068"/>
      <w:bookmarkStart w:id="4" w:name="_Toc13018"/>
      <w:bookmarkStart w:id="5" w:name="_Toc27088"/>
      <w:r>
        <w:rPr>
          <w:rFonts w:hint="eastAsia"/>
          <w:sz w:val="24"/>
          <w:szCs w:val="24"/>
        </w:rPr>
        <w:t>第二节  采购货物概况</w:t>
      </w:r>
      <w:bookmarkEnd w:id="1"/>
      <w:bookmarkEnd w:id="2"/>
      <w:bookmarkEnd w:id="3"/>
      <w:bookmarkEnd w:id="4"/>
      <w:bookmarkEnd w:id="5"/>
    </w:p>
    <w:p w14:paraId="039DA1EA">
      <w:pPr>
        <w:spacing w:line="360" w:lineRule="auto"/>
        <w:rPr>
          <w:sz w:val="24"/>
          <w:szCs w:val="24"/>
        </w:rPr>
      </w:pPr>
      <w:r>
        <w:rPr>
          <w:rFonts w:hint="eastAsia"/>
          <w:sz w:val="24"/>
          <w:szCs w:val="24"/>
        </w:rPr>
        <w:t>一、货物（或生产线）名称： 高低温试验箱（详见下表）</w:t>
      </w:r>
    </w:p>
    <w:p w14:paraId="5844ECB2">
      <w:pPr>
        <w:spacing w:line="360" w:lineRule="auto"/>
        <w:rPr>
          <w:rFonts w:ascii="宋体" w:hAnsi="宋体" w:cs="宋体"/>
          <w:sz w:val="24"/>
          <w:szCs w:val="24"/>
        </w:rPr>
      </w:pPr>
      <w:r>
        <w:rPr>
          <w:rFonts w:hint="eastAsia"/>
          <w:sz w:val="24"/>
          <w:szCs w:val="24"/>
        </w:rPr>
        <w:t>二、货物（或生产线）数量：</w:t>
      </w:r>
      <w:r>
        <w:rPr>
          <w:rFonts w:hint="eastAsia" w:ascii="宋体" w:hAnsi="宋体" w:cs="宋体"/>
          <w:sz w:val="24"/>
          <w:szCs w:val="24"/>
        </w:rPr>
        <w:t xml:space="preserve"> 1台 （详见下表）</w:t>
      </w:r>
    </w:p>
    <w:p w14:paraId="21D71592">
      <w:pPr>
        <w:spacing w:line="360" w:lineRule="auto"/>
        <w:rPr>
          <w:rFonts w:ascii="宋体" w:hAnsi="宋体" w:cs="宋体"/>
          <w:sz w:val="24"/>
          <w:szCs w:val="24"/>
        </w:rPr>
      </w:pPr>
      <w:r>
        <w:rPr>
          <w:rFonts w:hint="eastAsia"/>
          <w:sz w:val="24"/>
          <w:szCs w:val="24"/>
        </w:rPr>
        <w:t>三、分投分中：</w:t>
      </w:r>
      <w:r>
        <w:rPr>
          <w:rFonts w:hint="eastAsia" w:ascii="宋体" w:hAnsi="宋体" w:cs="宋体"/>
          <w:sz w:val="24"/>
          <w:szCs w:val="24"/>
        </w:rPr>
        <w:t>不允许。</w:t>
      </w:r>
    </w:p>
    <w:p w14:paraId="00C2525B">
      <w:pPr>
        <w:pStyle w:val="2"/>
        <w:spacing w:line="360" w:lineRule="auto"/>
        <w:rPr>
          <w:rFonts w:hint="eastAsia"/>
          <w:sz w:val="24"/>
          <w:szCs w:val="24"/>
        </w:rPr>
      </w:pPr>
      <w:r>
        <w:rPr>
          <w:rFonts w:hint="eastAsia"/>
          <w:sz w:val="24"/>
          <w:szCs w:val="24"/>
        </w:rPr>
        <w:t>四、采购货物（或生产线）主要构成一览表</w:t>
      </w:r>
    </w:p>
    <w:p w14:paraId="5B7D84EE">
      <w:pPr>
        <w:pStyle w:val="2"/>
        <w:spacing w:line="360" w:lineRule="auto"/>
        <w:rPr>
          <w:rFonts w:hint="eastAsia"/>
          <w:sz w:val="24"/>
          <w:szCs w:val="24"/>
        </w:rPr>
      </w:pP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16"/>
        <w:gridCol w:w="2117"/>
        <w:gridCol w:w="1230"/>
        <w:gridCol w:w="857"/>
        <w:gridCol w:w="776"/>
        <w:gridCol w:w="2279"/>
        <w:gridCol w:w="1182"/>
        <w:gridCol w:w="1192"/>
      </w:tblGrid>
      <w:tr w14:paraId="33E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6" w:type="pct"/>
            <w:vAlign w:val="center"/>
          </w:tcPr>
          <w:p w14:paraId="4DF984A5">
            <w:pPr>
              <w:spacing w:line="360" w:lineRule="auto"/>
              <w:rPr>
                <w:sz w:val="24"/>
                <w:szCs w:val="24"/>
              </w:rPr>
            </w:pPr>
            <w:r>
              <w:rPr>
                <w:rFonts w:hint="eastAsia"/>
                <w:sz w:val="24"/>
                <w:szCs w:val="24"/>
              </w:rPr>
              <w:t>序号</w:t>
            </w:r>
          </w:p>
        </w:tc>
        <w:tc>
          <w:tcPr>
            <w:tcW w:w="1023" w:type="pct"/>
            <w:vAlign w:val="center"/>
          </w:tcPr>
          <w:p w14:paraId="50F01EE3">
            <w:pPr>
              <w:spacing w:line="360" w:lineRule="auto"/>
              <w:rPr>
                <w:sz w:val="24"/>
                <w:szCs w:val="24"/>
              </w:rPr>
            </w:pPr>
            <w:r>
              <w:rPr>
                <w:rFonts w:hint="eastAsia"/>
                <w:sz w:val="24"/>
                <w:szCs w:val="24"/>
              </w:rPr>
              <w:t>名称</w:t>
            </w:r>
          </w:p>
        </w:tc>
        <w:tc>
          <w:tcPr>
            <w:tcW w:w="594" w:type="pct"/>
            <w:vAlign w:val="center"/>
          </w:tcPr>
          <w:p w14:paraId="39A1B323">
            <w:pPr>
              <w:spacing w:line="360" w:lineRule="auto"/>
              <w:rPr>
                <w:sz w:val="24"/>
                <w:szCs w:val="24"/>
              </w:rPr>
            </w:pPr>
            <w:r>
              <w:rPr>
                <w:rFonts w:hint="eastAsia"/>
                <w:sz w:val="24"/>
                <w:szCs w:val="24"/>
              </w:rPr>
              <w:t>型号规格</w:t>
            </w:r>
          </w:p>
        </w:tc>
        <w:tc>
          <w:tcPr>
            <w:tcW w:w="414" w:type="pct"/>
            <w:vAlign w:val="center"/>
          </w:tcPr>
          <w:p w14:paraId="35122E39">
            <w:pPr>
              <w:spacing w:line="360" w:lineRule="auto"/>
              <w:rPr>
                <w:sz w:val="24"/>
                <w:szCs w:val="24"/>
              </w:rPr>
            </w:pPr>
            <w:r>
              <w:rPr>
                <w:rFonts w:hint="eastAsia"/>
                <w:sz w:val="24"/>
                <w:szCs w:val="24"/>
              </w:rPr>
              <w:t>单位</w:t>
            </w:r>
          </w:p>
        </w:tc>
        <w:tc>
          <w:tcPr>
            <w:tcW w:w="375" w:type="pct"/>
            <w:vAlign w:val="center"/>
          </w:tcPr>
          <w:p w14:paraId="51EDB27D">
            <w:pPr>
              <w:spacing w:line="360" w:lineRule="auto"/>
              <w:rPr>
                <w:sz w:val="24"/>
                <w:szCs w:val="24"/>
              </w:rPr>
            </w:pPr>
            <w:r>
              <w:rPr>
                <w:rFonts w:hint="eastAsia"/>
                <w:sz w:val="24"/>
                <w:szCs w:val="24"/>
              </w:rPr>
              <w:t>数量</w:t>
            </w:r>
          </w:p>
        </w:tc>
        <w:tc>
          <w:tcPr>
            <w:tcW w:w="1101" w:type="pct"/>
            <w:vAlign w:val="center"/>
          </w:tcPr>
          <w:p w14:paraId="4E059C5A">
            <w:pPr>
              <w:spacing w:line="360" w:lineRule="auto"/>
              <w:rPr>
                <w:sz w:val="24"/>
                <w:szCs w:val="24"/>
              </w:rPr>
            </w:pPr>
            <w:r>
              <w:rPr>
                <w:rFonts w:hint="eastAsia"/>
                <w:sz w:val="24"/>
                <w:szCs w:val="24"/>
              </w:rPr>
              <w:t>安装地点/服务对象</w:t>
            </w:r>
          </w:p>
        </w:tc>
        <w:tc>
          <w:tcPr>
            <w:tcW w:w="571" w:type="pct"/>
            <w:vAlign w:val="center"/>
          </w:tcPr>
          <w:p w14:paraId="625C7AE1">
            <w:pPr>
              <w:spacing w:line="360" w:lineRule="auto"/>
              <w:rPr>
                <w:sz w:val="24"/>
                <w:szCs w:val="24"/>
              </w:rPr>
            </w:pPr>
            <w:r>
              <w:rPr>
                <w:rFonts w:hint="eastAsia"/>
                <w:sz w:val="24"/>
                <w:szCs w:val="24"/>
              </w:rPr>
              <w:t>供货方式</w:t>
            </w:r>
          </w:p>
        </w:tc>
        <w:tc>
          <w:tcPr>
            <w:tcW w:w="576" w:type="pct"/>
            <w:vAlign w:val="center"/>
          </w:tcPr>
          <w:p w14:paraId="1BBB473B">
            <w:pPr>
              <w:spacing w:line="360" w:lineRule="auto"/>
              <w:rPr>
                <w:sz w:val="24"/>
                <w:szCs w:val="24"/>
              </w:rPr>
            </w:pPr>
            <w:r>
              <w:rPr>
                <w:rFonts w:hint="eastAsia"/>
                <w:sz w:val="24"/>
                <w:szCs w:val="24"/>
              </w:rPr>
              <w:t>备注</w:t>
            </w:r>
          </w:p>
        </w:tc>
      </w:tr>
      <w:tr w14:paraId="7886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atLeast"/>
          <w:jc w:val="center"/>
        </w:trPr>
        <w:tc>
          <w:tcPr>
            <w:tcW w:w="346" w:type="pct"/>
            <w:vAlign w:val="center"/>
          </w:tcPr>
          <w:p w14:paraId="42079E83">
            <w:pPr>
              <w:spacing w:line="360" w:lineRule="auto"/>
              <w:rPr>
                <w:sz w:val="24"/>
                <w:szCs w:val="24"/>
              </w:rPr>
            </w:pPr>
            <w:r>
              <w:rPr>
                <w:rFonts w:hint="eastAsia"/>
                <w:sz w:val="24"/>
                <w:szCs w:val="24"/>
              </w:rPr>
              <w:t>1</w:t>
            </w:r>
          </w:p>
        </w:tc>
        <w:tc>
          <w:tcPr>
            <w:tcW w:w="1023" w:type="pct"/>
            <w:vAlign w:val="center"/>
          </w:tcPr>
          <w:p w14:paraId="48E11939">
            <w:pPr>
              <w:spacing w:line="360" w:lineRule="auto"/>
              <w:rPr>
                <w:sz w:val="24"/>
                <w:szCs w:val="24"/>
              </w:rPr>
            </w:pPr>
            <w:r>
              <w:rPr>
                <w:rFonts w:hint="eastAsia"/>
                <w:sz w:val="24"/>
                <w:szCs w:val="24"/>
              </w:rPr>
              <w:t>新增高低温试验箱</w:t>
            </w:r>
          </w:p>
        </w:tc>
        <w:tc>
          <w:tcPr>
            <w:tcW w:w="594" w:type="pct"/>
            <w:vAlign w:val="center"/>
          </w:tcPr>
          <w:p w14:paraId="064A3101">
            <w:pPr>
              <w:spacing w:line="360" w:lineRule="auto"/>
              <w:jc w:val="center"/>
              <w:rPr>
                <w:sz w:val="24"/>
                <w:szCs w:val="24"/>
              </w:rPr>
            </w:pPr>
            <w:r>
              <w:rPr>
                <w:rFonts w:hint="eastAsia"/>
                <w:sz w:val="24"/>
                <w:szCs w:val="24"/>
              </w:rPr>
              <w:t>/</w:t>
            </w:r>
          </w:p>
        </w:tc>
        <w:tc>
          <w:tcPr>
            <w:tcW w:w="414" w:type="pct"/>
            <w:vAlign w:val="center"/>
          </w:tcPr>
          <w:p w14:paraId="224CB200">
            <w:pPr>
              <w:spacing w:line="360" w:lineRule="auto"/>
              <w:jc w:val="center"/>
              <w:rPr>
                <w:sz w:val="24"/>
                <w:szCs w:val="24"/>
              </w:rPr>
            </w:pPr>
            <w:r>
              <w:rPr>
                <w:rFonts w:hint="eastAsia"/>
                <w:sz w:val="24"/>
                <w:szCs w:val="24"/>
              </w:rPr>
              <w:t>台</w:t>
            </w:r>
          </w:p>
        </w:tc>
        <w:tc>
          <w:tcPr>
            <w:tcW w:w="375" w:type="pct"/>
            <w:vAlign w:val="center"/>
          </w:tcPr>
          <w:p w14:paraId="77ACC702">
            <w:pPr>
              <w:spacing w:line="360" w:lineRule="auto"/>
              <w:jc w:val="center"/>
              <w:rPr>
                <w:sz w:val="24"/>
                <w:szCs w:val="24"/>
              </w:rPr>
            </w:pPr>
            <w:r>
              <w:rPr>
                <w:rFonts w:hint="eastAsia"/>
                <w:sz w:val="24"/>
                <w:szCs w:val="24"/>
              </w:rPr>
              <w:t>1</w:t>
            </w:r>
          </w:p>
        </w:tc>
        <w:tc>
          <w:tcPr>
            <w:tcW w:w="1101" w:type="pct"/>
            <w:vAlign w:val="center"/>
          </w:tcPr>
          <w:p w14:paraId="373DA262">
            <w:pPr>
              <w:spacing w:line="360" w:lineRule="auto"/>
              <w:rPr>
                <w:sz w:val="24"/>
                <w:szCs w:val="24"/>
              </w:rPr>
            </w:pPr>
            <w:r>
              <w:rPr>
                <w:rFonts w:hint="eastAsia"/>
                <w:sz w:val="24"/>
                <w:szCs w:val="24"/>
              </w:rPr>
              <w:t>杭州发动机有限公司</w:t>
            </w:r>
          </w:p>
        </w:tc>
        <w:tc>
          <w:tcPr>
            <w:tcW w:w="571" w:type="pct"/>
            <w:vAlign w:val="center"/>
          </w:tcPr>
          <w:p w14:paraId="1FECBA54">
            <w:pPr>
              <w:spacing w:line="360" w:lineRule="auto"/>
              <w:jc w:val="center"/>
              <w:rPr>
                <w:sz w:val="24"/>
                <w:szCs w:val="24"/>
              </w:rPr>
            </w:pPr>
            <w:r>
              <w:rPr>
                <w:rFonts w:hint="eastAsia"/>
                <w:sz w:val="24"/>
                <w:szCs w:val="24"/>
              </w:rPr>
              <w:t>交钥匙</w:t>
            </w:r>
          </w:p>
        </w:tc>
        <w:tc>
          <w:tcPr>
            <w:tcW w:w="576" w:type="pct"/>
            <w:vAlign w:val="center"/>
          </w:tcPr>
          <w:p w14:paraId="72D2674C">
            <w:pPr>
              <w:spacing w:line="360" w:lineRule="auto"/>
              <w:rPr>
                <w:sz w:val="24"/>
                <w:szCs w:val="24"/>
              </w:rPr>
            </w:pPr>
          </w:p>
        </w:tc>
      </w:tr>
    </w:tbl>
    <w:p w14:paraId="58004B72">
      <w:pPr>
        <w:spacing w:line="360" w:lineRule="auto"/>
        <w:rPr>
          <w:sz w:val="24"/>
          <w:szCs w:val="24"/>
        </w:rPr>
      </w:pPr>
    </w:p>
    <w:p w14:paraId="7FACE515">
      <w:pPr>
        <w:spacing w:line="360" w:lineRule="auto"/>
        <w:rPr>
          <w:sz w:val="24"/>
          <w:szCs w:val="24"/>
        </w:rPr>
      </w:pPr>
      <w:r>
        <w:rPr>
          <w:rFonts w:hint="eastAsia"/>
          <w:sz w:val="24"/>
          <w:szCs w:val="24"/>
        </w:rPr>
        <w:t>备注：</w:t>
      </w:r>
    </w:p>
    <w:p w14:paraId="4F2D3E8E">
      <w:pPr>
        <w:spacing w:line="360" w:lineRule="auto"/>
        <w:rPr>
          <w:sz w:val="24"/>
          <w:szCs w:val="24"/>
        </w:rPr>
      </w:pPr>
      <w:r>
        <w:rPr>
          <w:rFonts w:hint="eastAsia"/>
          <w:sz w:val="24"/>
          <w:szCs w:val="24"/>
        </w:rPr>
        <w:t>1、本表所列采购货物仅为货物的主要构成部分，应配套供货以及招标人所列其他货物（或设备）和服务，请投标人认真阅读“供货范围”。若有异议，不管是多么微小，都应在投标档“商务偏离”章节中予以详细说明。</w:t>
      </w:r>
    </w:p>
    <w:p w14:paraId="64264B23">
      <w:pPr>
        <w:spacing w:line="360" w:lineRule="auto"/>
        <w:rPr>
          <w:sz w:val="24"/>
          <w:szCs w:val="24"/>
        </w:rPr>
      </w:pPr>
      <w:r>
        <w:rPr>
          <w:rFonts w:hint="eastAsia"/>
          <w:sz w:val="24"/>
          <w:szCs w:val="24"/>
        </w:rPr>
        <w:t>2、本表“供货方式”指：交钥匙方式——包括制造、运输、定点卸货、安装、调试和协助验收以及约定培训等。</w:t>
      </w:r>
    </w:p>
    <w:p w14:paraId="0275F66F">
      <w:pPr>
        <w:spacing w:line="360" w:lineRule="auto"/>
        <w:rPr>
          <w:sz w:val="24"/>
          <w:szCs w:val="24"/>
        </w:rPr>
      </w:pPr>
      <w:r>
        <w:rPr>
          <w:rFonts w:hint="eastAsia"/>
          <w:sz w:val="24"/>
          <w:szCs w:val="24"/>
        </w:rPr>
        <w:t>3、以上内容仅对设备的基本功能进行了描述和建议，表中所列内容仅供参考，投标方投标前需对生产现场工艺环境进行充分调研与了解，确保投标方案满足工艺、产品、节拍、功能等要求，投标方对投标方案负责。</w:t>
      </w:r>
    </w:p>
    <w:p w14:paraId="222C3072">
      <w:pPr>
        <w:spacing w:line="360" w:lineRule="auto"/>
        <w:rPr>
          <w:sz w:val="24"/>
          <w:szCs w:val="24"/>
        </w:rPr>
      </w:pPr>
      <w:r>
        <w:rPr>
          <w:rFonts w:hint="eastAsia"/>
          <w:sz w:val="24"/>
          <w:szCs w:val="24"/>
        </w:rPr>
        <w:t>四、采购货物特别说明</w:t>
      </w:r>
    </w:p>
    <w:p w14:paraId="3795E764">
      <w:pPr>
        <w:spacing w:line="360" w:lineRule="auto"/>
        <w:rPr>
          <w:sz w:val="24"/>
          <w:szCs w:val="24"/>
        </w:rPr>
      </w:pPr>
      <w:r>
        <w:rPr>
          <w:rFonts w:hint="eastAsia"/>
          <w:sz w:val="24"/>
          <w:szCs w:val="24"/>
        </w:rPr>
        <w:t>招标人所列货物的名称和规格型号，如为某一供应商所特有，则该名称和规格型号可作参考，但要求投标人所提供的货物必须满足本技术标书实质性要求</w:t>
      </w:r>
      <w:r>
        <w:rPr>
          <w:rFonts w:hint="eastAsia" w:cs="Times New Roman"/>
          <w:sz w:val="24"/>
          <w:szCs w:val="24"/>
        </w:rPr>
        <w:t>。</w:t>
      </w:r>
    </w:p>
    <w:p w14:paraId="78782AC7">
      <w:pPr>
        <w:spacing w:line="360" w:lineRule="auto"/>
        <w:rPr>
          <w:rFonts w:hAnsi="Calibri"/>
          <w:sz w:val="24"/>
          <w:szCs w:val="24"/>
        </w:rPr>
      </w:pPr>
      <w:r>
        <w:rPr>
          <w:rFonts w:hint="eastAsia"/>
          <w:sz w:val="24"/>
          <w:szCs w:val="24"/>
        </w:rPr>
        <w:t>第二章</w:t>
      </w:r>
      <w:r>
        <w:rPr>
          <w:sz w:val="24"/>
          <w:szCs w:val="24"/>
        </w:rPr>
        <w:t xml:space="preserve">  </w:t>
      </w:r>
      <w:r>
        <w:rPr>
          <w:rFonts w:hint="eastAsia"/>
          <w:sz w:val="24"/>
          <w:szCs w:val="24"/>
        </w:rPr>
        <w:t>技术要求</w:t>
      </w:r>
    </w:p>
    <w:p w14:paraId="6929F840">
      <w:pPr>
        <w:spacing w:line="360" w:lineRule="auto"/>
        <w:rPr>
          <w:sz w:val="24"/>
          <w:szCs w:val="24"/>
        </w:rPr>
      </w:pPr>
      <w:r>
        <w:rPr>
          <w:rFonts w:hint="eastAsia"/>
          <w:sz w:val="24"/>
          <w:szCs w:val="24"/>
        </w:rPr>
        <w:t>一、基本要求</w:t>
      </w:r>
    </w:p>
    <w:p w14:paraId="4E2C618D">
      <w:pPr>
        <w:spacing w:line="360" w:lineRule="auto"/>
        <w:rPr>
          <w:sz w:val="24"/>
          <w:szCs w:val="24"/>
        </w:rPr>
      </w:pPr>
      <w:r>
        <w:rPr>
          <w:rFonts w:hint="eastAsia"/>
          <w:sz w:val="24"/>
          <w:szCs w:val="24"/>
        </w:rPr>
        <w:t>1、本章技术要求，仅对功能、设计、结构、性能、安装和试验检验等方面，提出了最低和一般性的技术要求，并未对一切技术细节作出规定。</w:t>
      </w:r>
    </w:p>
    <w:p w14:paraId="6E67E792">
      <w:pPr>
        <w:spacing w:line="360" w:lineRule="auto"/>
        <w:rPr>
          <w:sz w:val="24"/>
          <w:szCs w:val="24"/>
        </w:rPr>
      </w:pPr>
      <w:r>
        <w:rPr>
          <w:rFonts w:hint="eastAsia"/>
          <w:sz w:val="24"/>
          <w:szCs w:val="24"/>
        </w:rPr>
        <w:t>2、本技术要求所使用的标准、规范等，如与投标人所执行的标准、规范不一致时，应按高于本技术要求所列的标准、规范执行。</w:t>
      </w:r>
    </w:p>
    <w:p w14:paraId="027A364A">
      <w:pPr>
        <w:spacing w:line="360" w:lineRule="auto"/>
        <w:rPr>
          <w:sz w:val="24"/>
          <w:szCs w:val="24"/>
        </w:rPr>
      </w:pPr>
      <w:r>
        <w:rPr>
          <w:rFonts w:hint="eastAsia"/>
          <w:sz w:val="24"/>
          <w:szCs w:val="24"/>
        </w:rPr>
        <w:t>3、投标人认为所供货物必需由招标人配备、解决或提供的其他要求，如设备基础隔振和减振设施、软化水、洁净气源等，均应在投标档“技术偏离”中予以充分说明。</w:t>
      </w:r>
    </w:p>
    <w:p w14:paraId="0008ABB0">
      <w:pPr>
        <w:spacing w:line="360" w:lineRule="auto"/>
        <w:rPr>
          <w:sz w:val="24"/>
          <w:szCs w:val="24"/>
        </w:rPr>
      </w:pPr>
      <w:r>
        <w:rPr>
          <w:rFonts w:hint="eastAsia"/>
          <w:sz w:val="24"/>
          <w:szCs w:val="24"/>
        </w:rPr>
        <w:t>4、投标人应根据招投标货物具体要求，提出对厂房、设备基础（或安装平台）、公用设施、消防、环保等超出招标档、投标档、答疑档、技术交流档、技术协议书和合同等规定的、有特殊需要的解释、说明和要求。</w:t>
      </w:r>
    </w:p>
    <w:p w14:paraId="24AC23A4">
      <w:pPr>
        <w:spacing w:line="360" w:lineRule="auto"/>
        <w:rPr>
          <w:sz w:val="24"/>
          <w:szCs w:val="24"/>
        </w:rPr>
      </w:pPr>
      <w:r>
        <w:rPr>
          <w:rFonts w:hint="eastAsia"/>
          <w:sz w:val="24"/>
          <w:szCs w:val="24"/>
        </w:rPr>
        <w:t>5、无论是否有技术偏离，投标人均应在投标档“技术偏离”中明确作出有无说明。若有异议，不管是多么微小，投标人必须予以明确和详细的说明或澄清。</w:t>
      </w:r>
    </w:p>
    <w:p w14:paraId="5ED5C4E3">
      <w:pPr>
        <w:spacing w:line="360" w:lineRule="auto"/>
        <w:rPr>
          <w:sz w:val="24"/>
          <w:szCs w:val="24"/>
        </w:rPr>
      </w:pPr>
      <w:r>
        <w:rPr>
          <w:rFonts w:hint="eastAsia"/>
          <w:sz w:val="24"/>
          <w:szCs w:val="24"/>
        </w:rPr>
        <w:t>6、为避免投标人优势在招标评审时漏项，质保期超出本技术标书要求的，应当在投标档“技术偏离”中特别注明。</w:t>
      </w:r>
    </w:p>
    <w:p w14:paraId="6D9002FA">
      <w:pPr>
        <w:spacing w:line="360" w:lineRule="auto"/>
        <w:rPr>
          <w:sz w:val="24"/>
          <w:szCs w:val="24"/>
        </w:rPr>
      </w:pPr>
      <w:r>
        <w:rPr>
          <w:rFonts w:hint="eastAsia"/>
          <w:sz w:val="24"/>
          <w:szCs w:val="24"/>
        </w:rPr>
        <w:t>7、投标档中，针对“特别提示”条款所做的回应，将作为投标人能否中标的重要依据之一。</w:t>
      </w:r>
    </w:p>
    <w:p w14:paraId="00A1AC3B">
      <w:pPr>
        <w:spacing w:line="360" w:lineRule="auto"/>
        <w:rPr>
          <w:sz w:val="24"/>
          <w:szCs w:val="24"/>
        </w:rPr>
      </w:pPr>
      <w:r>
        <w:rPr>
          <w:rFonts w:hint="eastAsia"/>
          <w:sz w:val="24"/>
          <w:szCs w:val="24"/>
        </w:rPr>
        <w:t>二、执行标准</w:t>
      </w:r>
    </w:p>
    <w:p w14:paraId="14E613F0">
      <w:pPr>
        <w:spacing w:line="360" w:lineRule="auto"/>
        <w:rPr>
          <w:sz w:val="24"/>
          <w:szCs w:val="24"/>
        </w:rPr>
      </w:pPr>
      <w:r>
        <w:rPr>
          <w:rFonts w:hint="eastAsia"/>
          <w:sz w:val="24"/>
          <w:szCs w:val="24"/>
        </w:rPr>
        <w:t>1、投标人所供的货物，必须符合中国最新版的法律、法规和相关标准、规范的要求，符合项目所在地政府有关特殊要求。</w:t>
      </w:r>
    </w:p>
    <w:p w14:paraId="6ECA5893">
      <w:pPr>
        <w:spacing w:line="360" w:lineRule="auto"/>
        <w:rPr>
          <w:sz w:val="24"/>
          <w:szCs w:val="24"/>
        </w:rPr>
      </w:pPr>
      <w:r>
        <w:rPr>
          <w:rFonts w:hint="eastAsia"/>
          <w:sz w:val="24"/>
          <w:szCs w:val="24"/>
        </w:rPr>
        <w:t>2、投标人所供货物涉及的专利权技术以及知识产权保护的其他技术等，应保证招标人不因此受到任何侵权指控以及实际损失。</w:t>
      </w:r>
    </w:p>
    <w:p w14:paraId="50EBCA0B">
      <w:pPr>
        <w:spacing w:line="360" w:lineRule="auto"/>
        <w:rPr>
          <w:sz w:val="24"/>
          <w:szCs w:val="24"/>
        </w:rPr>
      </w:pPr>
      <w:r>
        <w:rPr>
          <w:rFonts w:hint="eastAsia"/>
          <w:sz w:val="24"/>
          <w:szCs w:val="24"/>
        </w:rPr>
        <w:t>3、投标人应保证所供货物的先进性、可靠性、经济性和实用性，并为全新货物（或设备）。</w:t>
      </w:r>
    </w:p>
    <w:p w14:paraId="0F89DB93">
      <w:pPr>
        <w:spacing w:line="360" w:lineRule="auto"/>
        <w:rPr>
          <w:sz w:val="24"/>
          <w:szCs w:val="24"/>
        </w:rPr>
      </w:pPr>
      <w:r>
        <w:rPr>
          <w:rFonts w:hint="eastAsia"/>
          <w:sz w:val="24"/>
          <w:szCs w:val="24"/>
        </w:rPr>
        <w:t>4、投标人应满足招标人提出的各项技术要求，必要时应当免费提供技术承诺或担保。</w:t>
      </w:r>
    </w:p>
    <w:p w14:paraId="13942449">
      <w:pPr>
        <w:spacing w:line="360" w:lineRule="auto"/>
        <w:rPr>
          <w:sz w:val="24"/>
          <w:szCs w:val="24"/>
        </w:rPr>
      </w:pPr>
      <w:r>
        <w:rPr>
          <w:rFonts w:hint="eastAsia"/>
          <w:sz w:val="24"/>
          <w:szCs w:val="24"/>
        </w:rPr>
        <w:t>5、投标人应保证所供货物（或设备）为中国政府指定或规定的主管部门公布的非淘汰货物（或设备）。</w:t>
      </w:r>
    </w:p>
    <w:p w14:paraId="50F76FC3">
      <w:pPr>
        <w:spacing w:line="360" w:lineRule="auto"/>
        <w:rPr>
          <w:sz w:val="24"/>
          <w:szCs w:val="24"/>
        </w:rPr>
      </w:pPr>
      <w:r>
        <w:rPr>
          <w:rFonts w:hint="eastAsia"/>
          <w:sz w:val="24"/>
          <w:szCs w:val="24"/>
        </w:rPr>
        <w:t>6、投标人应保证所供货物的完整性和成套性，能保证货物的正常运行、使用。</w:t>
      </w:r>
    </w:p>
    <w:p w14:paraId="2803DB55">
      <w:pPr>
        <w:spacing w:line="360" w:lineRule="auto"/>
        <w:rPr>
          <w:sz w:val="24"/>
          <w:szCs w:val="24"/>
        </w:rPr>
      </w:pPr>
      <w:r>
        <w:rPr>
          <w:rFonts w:hint="eastAsia"/>
          <w:sz w:val="24"/>
          <w:szCs w:val="24"/>
        </w:rPr>
        <w:t>7、投标人应对招标人采购的货物所涉及的技术、产能等信息负有保密义务，招标人拥有追究投标人泄密责任的权利；招标人如有需要，投标人应无条件签署保密协议。</w:t>
      </w:r>
    </w:p>
    <w:p w14:paraId="5873F0BF">
      <w:pPr>
        <w:rPr>
          <w:sz w:val="24"/>
          <w:szCs w:val="24"/>
        </w:rPr>
        <w:sectPr>
          <w:footerReference r:id="rId5" w:type="default"/>
          <w:pgSz w:w="11910" w:h="16840"/>
          <w:pgMar w:top="2180" w:right="680" w:bottom="2500" w:left="920" w:header="816" w:footer="2315" w:gutter="0"/>
          <w:cols w:space="720" w:num="1"/>
        </w:sectPr>
      </w:pPr>
    </w:p>
    <w:p w14:paraId="7202F198">
      <w:pPr>
        <w:rPr>
          <w:color w:val="FF0000"/>
          <w:sz w:val="24"/>
          <w:szCs w:val="24"/>
        </w:rPr>
      </w:pPr>
      <w:r>
        <w:rPr>
          <w:rFonts w:hint="eastAsia"/>
          <w:sz w:val="24"/>
          <w:szCs w:val="24"/>
        </w:rPr>
        <w:t>8、涉及的主要标准：</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38"/>
        <w:gridCol w:w="6354"/>
        <w:gridCol w:w="2173"/>
      </w:tblGrid>
      <w:tr w14:paraId="6B4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348" w:type="pct"/>
            <w:vAlign w:val="center"/>
          </w:tcPr>
          <w:p w14:paraId="619C3966">
            <w:pPr>
              <w:rPr>
                <w:sz w:val="24"/>
                <w:szCs w:val="24"/>
              </w:rPr>
            </w:pPr>
            <w:r>
              <w:rPr>
                <w:rFonts w:hint="eastAsia"/>
                <w:sz w:val="24"/>
                <w:szCs w:val="24"/>
              </w:rPr>
              <w:t>序号</w:t>
            </w:r>
          </w:p>
        </w:tc>
        <w:tc>
          <w:tcPr>
            <w:tcW w:w="3467" w:type="pct"/>
            <w:vAlign w:val="center"/>
          </w:tcPr>
          <w:p w14:paraId="410E0243">
            <w:pPr>
              <w:rPr>
                <w:sz w:val="24"/>
                <w:szCs w:val="24"/>
              </w:rPr>
            </w:pPr>
            <w:r>
              <w:rPr>
                <w:rFonts w:hint="eastAsia"/>
                <w:sz w:val="24"/>
                <w:szCs w:val="24"/>
              </w:rPr>
              <w:t>标准名称</w:t>
            </w:r>
          </w:p>
        </w:tc>
        <w:tc>
          <w:tcPr>
            <w:tcW w:w="1185" w:type="pct"/>
            <w:vAlign w:val="center"/>
          </w:tcPr>
          <w:p w14:paraId="57DC717E">
            <w:pPr>
              <w:rPr>
                <w:sz w:val="24"/>
                <w:szCs w:val="24"/>
              </w:rPr>
            </w:pPr>
            <w:r>
              <w:rPr>
                <w:rFonts w:hint="eastAsia"/>
                <w:sz w:val="24"/>
                <w:szCs w:val="24"/>
              </w:rPr>
              <w:t>标准编号</w:t>
            </w:r>
          </w:p>
        </w:tc>
      </w:tr>
      <w:tr w14:paraId="0BB3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 w:hRule="atLeast"/>
          <w:jc w:val="center"/>
        </w:trPr>
        <w:tc>
          <w:tcPr>
            <w:tcW w:w="348" w:type="pct"/>
            <w:vAlign w:val="center"/>
          </w:tcPr>
          <w:p w14:paraId="70257415">
            <w:pPr>
              <w:rPr>
                <w:sz w:val="24"/>
                <w:szCs w:val="24"/>
              </w:rPr>
            </w:pPr>
            <w:r>
              <w:rPr>
                <w:rFonts w:hint="eastAsia"/>
                <w:sz w:val="24"/>
                <w:szCs w:val="24"/>
              </w:rPr>
              <w:t>1</w:t>
            </w:r>
          </w:p>
        </w:tc>
        <w:tc>
          <w:tcPr>
            <w:tcW w:w="3467" w:type="pct"/>
            <w:vAlign w:val="center"/>
          </w:tcPr>
          <w:p w14:paraId="2500E40D">
            <w:pPr>
              <w:pStyle w:val="14"/>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 xml:space="preserve"> 《恒定湿热试验方法》</w:t>
            </w:r>
          </w:p>
        </w:tc>
        <w:tc>
          <w:tcPr>
            <w:tcW w:w="1185" w:type="pct"/>
            <w:vAlign w:val="center"/>
          </w:tcPr>
          <w:p w14:paraId="5765504B">
            <w:pPr>
              <w:rPr>
                <w:sz w:val="24"/>
                <w:szCs w:val="24"/>
              </w:rPr>
            </w:pPr>
            <w:r>
              <w:rPr>
                <w:rFonts w:hint="eastAsia"/>
                <w:sz w:val="24"/>
                <w:szCs w:val="24"/>
              </w:rPr>
              <w:t>GB2423.3－2008</w:t>
            </w:r>
          </w:p>
        </w:tc>
      </w:tr>
      <w:tr w14:paraId="7B04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 w:hRule="atLeast"/>
          <w:jc w:val="center"/>
        </w:trPr>
        <w:tc>
          <w:tcPr>
            <w:tcW w:w="348" w:type="pct"/>
            <w:vAlign w:val="center"/>
          </w:tcPr>
          <w:p w14:paraId="2B87276A">
            <w:pPr>
              <w:rPr>
                <w:sz w:val="24"/>
                <w:szCs w:val="24"/>
              </w:rPr>
            </w:pPr>
            <w:r>
              <w:rPr>
                <w:rFonts w:hint="eastAsia"/>
                <w:sz w:val="24"/>
                <w:szCs w:val="24"/>
              </w:rPr>
              <w:t>2</w:t>
            </w:r>
          </w:p>
        </w:tc>
        <w:tc>
          <w:tcPr>
            <w:tcW w:w="3467" w:type="pct"/>
            <w:vAlign w:val="center"/>
          </w:tcPr>
          <w:p w14:paraId="370D2574">
            <w:pPr>
              <w:pStyle w:val="14"/>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《低温试验箱技术条件》</w:t>
            </w:r>
          </w:p>
        </w:tc>
        <w:tc>
          <w:tcPr>
            <w:tcW w:w="1185" w:type="pct"/>
            <w:vAlign w:val="center"/>
          </w:tcPr>
          <w:p w14:paraId="655E251A">
            <w:pPr>
              <w:rPr>
                <w:sz w:val="24"/>
                <w:szCs w:val="24"/>
              </w:rPr>
            </w:pPr>
            <w:r>
              <w:rPr>
                <w:rFonts w:hint="eastAsia"/>
                <w:sz w:val="24"/>
                <w:szCs w:val="24"/>
              </w:rPr>
              <w:t>G</w:t>
            </w:r>
            <w:r>
              <w:rPr>
                <w:sz w:val="24"/>
                <w:szCs w:val="24"/>
              </w:rPr>
              <w:t>B 10589-2008</w:t>
            </w:r>
          </w:p>
        </w:tc>
      </w:tr>
      <w:tr w14:paraId="5D5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 w:hRule="atLeast"/>
          <w:jc w:val="center"/>
        </w:trPr>
        <w:tc>
          <w:tcPr>
            <w:tcW w:w="348" w:type="pct"/>
            <w:vAlign w:val="center"/>
          </w:tcPr>
          <w:p w14:paraId="5B537166">
            <w:pPr>
              <w:rPr>
                <w:sz w:val="24"/>
                <w:szCs w:val="24"/>
              </w:rPr>
            </w:pPr>
            <w:r>
              <w:rPr>
                <w:rFonts w:hint="eastAsia"/>
                <w:sz w:val="24"/>
                <w:szCs w:val="24"/>
              </w:rPr>
              <w:t>3</w:t>
            </w:r>
          </w:p>
        </w:tc>
        <w:tc>
          <w:tcPr>
            <w:tcW w:w="3467" w:type="pct"/>
            <w:vAlign w:val="center"/>
          </w:tcPr>
          <w:p w14:paraId="55179C96">
            <w:pPr>
              <w:rPr>
                <w:sz w:val="24"/>
                <w:szCs w:val="24"/>
              </w:rPr>
            </w:pPr>
            <w:r>
              <w:rPr>
                <w:rFonts w:hint="eastAsia"/>
                <w:sz w:val="24"/>
                <w:szCs w:val="24"/>
              </w:rPr>
              <w:t>《高低温试验箱技术条件》</w:t>
            </w:r>
          </w:p>
        </w:tc>
        <w:tc>
          <w:tcPr>
            <w:tcW w:w="1185" w:type="pct"/>
            <w:vAlign w:val="center"/>
          </w:tcPr>
          <w:p w14:paraId="36A14609">
            <w:pPr>
              <w:rPr>
                <w:sz w:val="24"/>
                <w:szCs w:val="24"/>
              </w:rPr>
            </w:pPr>
            <w:r>
              <w:rPr>
                <w:rFonts w:hint="eastAsia"/>
                <w:sz w:val="24"/>
                <w:szCs w:val="24"/>
              </w:rPr>
              <w:t>G</w:t>
            </w:r>
            <w:r>
              <w:rPr>
                <w:sz w:val="24"/>
                <w:szCs w:val="24"/>
              </w:rPr>
              <w:t>B 10592-2008</w:t>
            </w:r>
          </w:p>
        </w:tc>
      </w:tr>
    </w:tbl>
    <w:p w14:paraId="499EA2BF">
      <w:pPr>
        <w:rPr>
          <w:color w:val="0070C0"/>
          <w:sz w:val="24"/>
          <w:szCs w:val="24"/>
          <w:highlight w:val="yellow"/>
        </w:rPr>
      </w:pPr>
      <w:r>
        <w:rPr>
          <w:rFonts w:hint="eastAsia"/>
          <w:sz w:val="24"/>
          <w:szCs w:val="24"/>
        </w:rPr>
        <w:t>三、技术要求概况：</w:t>
      </w:r>
    </w:p>
    <w:p w14:paraId="7613EC01">
      <w:pPr>
        <w:rPr>
          <w:sz w:val="24"/>
          <w:szCs w:val="24"/>
        </w:rPr>
      </w:pPr>
      <w:r>
        <w:rPr>
          <w:sz w:val="24"/>
          <w:szCs w:val="24"/>
        </w:rPr>
        <w:t>3.1 温度范围： -50℃ ~ 160 ℃（空载）</w:t>
      </w:r>
    </w:p>
    <w:p w14:paraId="53D55291">
      <w:pPr>
        <w:rPr>
          <w:sz w:val="24"/>
          <w:szCs w:val="24"/>
        </w:rPr>
      </w:pPr>
      <w:r>
        <w:rPr>
          <w:sz w:val="24"/>
          <w:szCs w:val="24"/>
        </w:rPr>
        <w:t>3.2 温度波动度：≤±0.5℃</w:t>
      </w:r>
    </w:p>
    <w:p w14:paraId="0CE73FB1">
      <w:pPr>
        <w:rPr>
          <w:sz w:val="24"/>
          <w:szCs w:val="24"/>
        </w:rPr>
      </w:pPr>
      <w:r>
        <w:rPr>
          <w:sz w:val="24"/>
          <w:szCs w:val="24"/>
        </w:rPr>
        <w:t>3</w:t>
      </w:r>
      <w:r>
        <w:rPr>
          <w:rFonts w:hint="eastAsia"/>
          <w:sz w:val="24"/>
          <w:szCs w:val="24"/>
        </w:rPr>
        <w:t>.3</w:t>
      </w:r>
      <w:r>
        <w:rPr>
          <w:sz w:val="24"/>
          <w:szCs w:val="24"/>
        </w:rPr>
        <w:t>温度均匀度：≤2℃</w:t>
      </w:r>
    </w:p>
    <w:p w14:paraId="7C38D3A6">
      <w:pPr>
        <w:rPr>
          <w:sz w:val="24"/>
          <w:szCs w:val="24"/>
        </w:rPr>
      </w:pPr>
      <w:r>
        <w:rPr>
          <w:sz w:val="24"/>
          <w:szCs w:val="24"/>
        </w:rPr>
        <w:t>3</w:t>
      </w:r>
      <w:r>
        <w:rPr>
          <w:rFonts w:hint="eastAsia"/>
          <w:sz w:val="24"/>
          <w:szCs w:val="24"/>
        </w:rPr>
        <w:t>.4</w:t>
      </w:r>
      <w:r>
        <w:rPr>
          <w:sz w:val="24"/>
          <w:szCs w:val="24"/>
        </w:rPr>
        <w:t xml:space="preserve">温度最低极限： -50℃  </w:t>
      </w:r>
    </w:p>
    <w:p w14:paraId="367DBB80">
      <w:pPr>
        <w:rPr>
          <w:sz w:val="24"/>
          <w:szCs w:val="24"/>
        </w:rPr>
      </w:pPr>
      <w:r>
        <w:rPr>
          <w:sz w:val="24"/>
          <w:szCs w:val="24"/>
        </w:rPr>
        <w:t>3</w:t>
      </w:r>
      <w:r>
        <w:rPr>
          <w:rFonts w:hint="eastAsia"/>
          <w:sz w:val="24"/>
          <w:szCs w:val="24"/>
        </w:rPr>
        <w:t>.5</w:t>
      </w:r>
      <w:r>
        <w:rPr>
          <w:sz w:val="24"/>
          <w:szCs w:val="24"/>
        </w:rPr>
        <w:t>升温速率：</w:t>
      </w:r>
      <w:r>
        <w:rPr>
          <w:rFonts w:hint="eastAsia"/>
          <w:sz w:val="24"/>
          <w:szCs w:val="24"/>
        </w:rPr>
        <w:t xml:space="preserve">3-5℃/min </w:t>
      </w:r>
      <w:r>
        <w:rPr>
          <w:sz w:val="24"/>
          <w:szCs w:val="24"/>
        </w:rPr>
        <w:t>(空载时)</w:t>
      </w:r>
    </w:p>
    <w:p w14:paraId="37BC5B72">
      <w:pPr>
        <w:rPr>
          <w:sz w:val="24"/>
          <w:szCs w:val="24"/>
        </w:rPr>
      </w:pPr>
      <w:r>
        <w:rPr>
          <w:sz w:val="24"/>
          <w:szCs w:val="24"/>
        </w:rPr>
        <w:t>3</w:t>
      </w:r>
      <w:r>
        <w:rPr>
          <w:rFonts w:hint="eastAsia"/>
          <w:sz w:val="24"/>
          <w:szCs w:val="24"/>
        </w:rPr>
        <w:t xml:space="preserve">.6降温速率：0.7－1℃/min </w:t>
      </w:r>
      <w:r>
        <w:rPr>
          <w:sz w:val="24"/>
          <w:szCs w:val="24"/>
        </w:rPr>
        <w:t>(</w:t>
      </w:r>
      <w:r>
        <w:rPr>
          <w:rFonts w:hint="eastAsia"/>
          <w:sz w:val="24"/>
          <w:szCs w:val="24"/>
        </w:rPr>
        <w:t>空载时</w:t>
      </w:r>
      <w:r>
        <w:rPr>
          <w:sz w:val="24"/>
          <w:szCs w:val="24"/>
        </w:rPr>
        <w:t xml:space="preserve">) </w:t>
      </w:r>
    </w:p>
    <w:p w14:paraId="73C5A74E">
      <w:pPr>
        <w:rPr>
          <w:sz w:val="24"/>
          <w:szCs w:val="24"/>
        </w:rPr>
      </w:pPr>
      <w:r>
        <w:rPr>
          <w:sz w:val="24"/>
          <w:szCs w:val="24"/>
        </w:rPr>
        <w:t>3.7 湿度范围：30%～98%R.H. (20-85</w:t>
      </w:r>
      <w:r>
        <w:rPr>
          <w:rFonts w:hint="eastAsia"/>
          <w:sz w:val="24"/>
          <w:szCs w:val="24"/>
        </w:rPr>
        <w:t>℃)</w:t>
      </w:r>
    </w:p>
    <w:p w14:paraId="10230A8F">
      <w:pPr>
        <w:rPr>
          <w:sz w:val="24"/>
          <w:szCs w:val="24"/>
        </w:rPr>
      </w:pPr>
      <w:r>
        <w:rPr>
          <w:sz w:val="24"/>
          <w:szCs w:val="24"/>
        </w:rPr>
        <w:t>3.8 湿度波动度：≤±2.5%R.H.</w:t>
      </w:r>
    </w:p>
    <w:p w14:paraId="0EC7A029">
      <w:pPr>
        <w:rPr>
          <w:sz w:val="24"/>
          <w:szCs w:val="24"/>
        </w:rPr>
      </w:pPr>
      <w:r>
        <w:rPr>
          <w:sz w:val="24"/>
          <w:szCs w:val="24"/>
        </w:rPr>
        <w:t>3.9 湿度偏差：≤±3%</w:t>
      </w:r>
    </w:p>
    <w:p w14:paraId="2BE8F79A">
      <w:pPr>
        <w:rPr>
          <w:sz w:val="24"/>
          <w:szCs w:val="24"/>
        </w:rPr>
      </w:pPr>
      <w:r>
        <w:rPr>
          <w:sz w:val="24"/>
          <w:szCs w:val="24"/>
        </w:rPr>
        <w:t>3.10</w:t>
      </w:r>
      <w:r>
        <w:rPr>
          <w:rFonts w:hint="eastAsia"/>
          <w:sz w:val="24"/>
          <w:szCs w:val="24"/>
        </w:rPr>
        <w:t>具备交变试验温度、湿度和时间设定功能</w:t>
      </w:r>
    </w:p>
    <w:p w14:paraId="2F8B1127">
      <w:pPr>
        <w:rPr>
          <w:sz w:val="24"/>
          <w:szCs w:val="24"/>
        </w:rPr>
      </w:pPr>
      <w:r>
        <w:rPr>
          <w:sz w:val="24"/>
          <w:szCs w:val="24"/>
        </w:rPr>
        <w:t>3.11试验箱工作室尺寸</w:t>
      </w:r>
      <w:r>
        <w:rPr>
          <w:rFonts w:hint="eastAsia"/>
          <w:sz w:val="24"/>
          <w:szCs w:val="24"/>
        </w:rPr>
        <w:t>≥</w:t>
      </w:r>
      <w:r>
        <w:rPr>
          <w:sz w:val="24"/>
          <w:szCs w:val="24"/>
        </w:rPr>
        <w:t xml:space="preserve">(D)1500 (W) 1000( H) </w:t>
      </w:r>
      <w:r>
        <w:rPr>
          <w:rFonts w:hint="eastAsia"/>
          <w:sz w:val="24"/>
          <w:szCs w:val="24"/>
        </w:rPr>
        <w:t>1</w:t>
      </w:r>
      <w:r>
        <w:rPr>
          <w:sz w:val="24"/>
          <w:szCs w:val="24"/>
        </w:rPr>
        <w:t>500（mm）</w:t>
      </w:r>
      <w:r>
        <w:rPr>
          <w:rFonts w:hint="eastAsia"/>
          <w:sz w:val="24"/>
          <w:szCs w:val="24"/>
        </w:rPr>
        <w:t xml:space="preserve"> </w:t>
      </w:r>
    </w:p>
    <w:p w14:paraId="7E10B65E">
      <w:pPr>
        <w:rPr>
          <w:sz w:val="24"/>
          <w:szCs w:val="24"/>
        </w:rPr>
      </w:pPr>
      <w:r>
        <w:rPr>
          <w:rFonts w:hint="eastAsia"/>
          <w:sz w:val="24"/>
          <w:szCs w:val="24"/>
        </w:rPr>
        <w:t>四、方案及设备主要技术规格</w:t>
      </w:r>
    </w:p>
    <w:p w14:paraId="22060156">
      <w:pPr>
        <w:rPr>
          <w:color w:val="FF0000"/>
          <w:sz w:val="24"/>
          <w:szCs w:val="24"/>
        </w:rPr>
      </w:pPr>
      <w:r>
        <w:rPr>
          <w:rFonts w:hint="eastAsia"/>
          <w:sz w:val="24"/>
          <w:szCs w:val="24"/>
        </w:rPr>
        <w:t xml:space="preserve">第一部分：生产依据 </w:t>
      </w:r>
    </w:p>
    <w:p w14:paraId="41E97F37">
      <w:pPr>
        <w:rPr>
          <w:sz w:val="24"/>
          <w:szCs w:val="24"/>
        </w:rPr>
      </w:pPr>
      <w:r>
        <w:rPr>
          <w:sz w:val="24"/>
          <w:szCs w:val="24"/>
        </w:rPr>
        <w:t>该设备是按照下列标准之一或其结合为依据生产的</w:t>
      </w:r>
    </w:p>
    <w:p w14:paraId="3C72B5C7">
      <w:pPr>
        <w:rPr>
          <w:sz w:val="24"/>
          <w:szCs w:val="24"/>
        </w:rPr>
      </w:pPr>
      <w:r>
        <w:rPr>
          <w:rFonts w:hint="eastAsia"/>
          <w:sz w:val="24"/>
          <w:szCs w:val="24"/>
        </w:rPr>
        <w:t>G</w:t>
      </w:r>
      <w:r>
        <w:rPr>
          <w:sz w:val="24"/>
          <w:szCs w:val="24"/>
        </w:rPr>
        <w:t xml:space="preserve">B 10589-2008 </w:t>
      </w:r>
      <w:r>
        <w:rPr>
          <w:rFonts w:hint="eastAsia"/>
          <w:sz w:val="24"/>
          <w:szCs w:val="24"/>
        </w:rPr>
        <w:t>《低温试验箱技术条件》</w:t>
      </w:r>
    </w:p>
    <w:p w14:paraId="447A79A7">
      <w:pPr>
        <w:rPr>
          <w:sz w:val="24"/>
          <w:szCs w:val="24"/>
        </w:rPr>
      </w:pPr>
      <w:r>
        <w:rPr>
          <w:rFonts w:hint="eastAsia"/>
          <w:sz w:val="24"/>
          <w:szCs w:val="24"/>
        </w:rPr>
        <w:t>G</w:t>
      </w:r>
      <w:r>
        <w:rPr>
          <w:sz w:val="24"/>
          <w:szCs w:val="24"/>
        </w:rPr>
        <w:t>B 10592-2008</w:t>
      </w:r>
      <w:r>
        <w:rPr>
          <w:rFonts w:hint="eastAsia"/>
          <w:sz w:val="24"/>
          <w:szCs w:val="24"/>
        </w:rPr>
        <w:t>《高低温试验箱技术条件》</w:t>
      </w:r>
    </w:p>
    <w:p w14:paraId="284039C1">
      <w:pPr>
        <w:rPr>
          <w:sz w:val="24"/>
          <w:szCs w:val="24"/>
        </w:rPr>
      </w:pPr>
    </w:p>
    <w:p w14:paraId="3BFDF164">
      <w:pPr>
        <w:rPr>
          <w:sz w:val="24"/>
          <w:szCs w:val="24"/>
        </w:rPr>
      </w:pPr>
      <w:r>
        <w:rPr>
          <w:rFonts w:hint="eastAsia"/>
          <w:sz w:val="24"/>
          <w:szCs w:val="24"/>
        </w:rPr>
        <w:t>第二部分：产品的技术参数</w:t>
      </w:r>
    </w:p>
    <w:p w14:paraId="3488F527">
      <w:pPr>
        <w:rPr>
          <w:sz w:val="24"/>
          <w:szCs w:val="24"/>
        </w:rPr>
      </w:pPr>
      <w:r>
        <w:rPr>
          <w:sz w:val="24"/>
          <w:szCs w:val="24"/>
        </w:rPr>
        <w:t>1.1 温度范围： -50℃ ~ 160 ℃（空载）</w:t>
      </w:r>
    </w:p>
    <w:p w14:paraId="3927CAAD">
      <w:pPr>
        <w:rPr>
          <w:sz w:val="24"/>
          <w:szCs w:val="24"/>
        </w:rPr>
      </w:pPr>
      <w:r>
        <w:rPr>
          <w:sz w:val="24"/>
          <w:szCs w:val="24"/>
        </w:rPr>
        <w:t>1.2 温度波动度：≤±0.5℃</w:t>
      </w:r>
    </w:p>
    <w:p w14:paraId="52249252">
      <w:pPr>
        <w:rPr>
          <w:sz w:val="24"/>
          <w:szCs w:val="24"/>
        </w:rPr>
      </w:pPr>
      <w:r>
        <w:rPr>
          <w:sz w:val="24"/>
          <w:szCs w:val="24"/>
        </w:rPr>
        <w:t>1</w:t>
      </w:r>
      <w:r>
        <w:rPr>
          <w:rFonts w:hint="eastAsia"/>
          <w:sz w:val="24"/>
          <w:szCs w:val="24"/>
        </w:rPr>
        <w:t>.3</w:t>
      </w:r>
      <w:r>
        <w:rPr>
          <w:sz w:val="24"/>
          <w:szCs w:val="24"/>
        </w:rPr>
        <w:t>温度均匀度：≤2℃</w:t>
      </w:r>
    </w:p>
    <w:p w14:paraId="1F984A77">
      <w:pPr>
        <w:rPr>
          <w:sz w:val="24"/>
          <w:szCs w:val="24"/>
        </w:rPr>
      </w:pPr>
      <w:r>
        <w:rPr>
          <w:sz w:val="24"/>
          <w:szCs w:val="24"/>
        </w:rPr>
        <w:t>1</w:t>
      </w:r>
      <w:r>
        <w:rPr>
          <w:rFonts w:hint="eastAsia"/>
          <w:sz w:val="24"/>
          <w:szCs w:val="24"/>
        </w:rPr>
        <w:t>.4</w:t>
      </w:r>
      <w:r>
        <w:rPr>
          <w:sz w:val="24"/>
          <w:szCs w:val="24"/>
        </w:rPr>
        <w:t xml:space="preserve">温度最低极限： -50℃  </w:t>
      </w:r>
    </w:p>
    <w:p w14:paraId="265BA885">
      <w:pPr>
        <w:rPr>
          <w:sz w:val="24"/>
          <w:szCs w:val="24"/>
        </w:rPr>
      </w:pPr>
      <w:r>
        <w:rPr>
          <w:sz w:val="24"/>
          <w:szCs w:val="24"/>
        </w:rPr>
        <w:t>1</w:t>
      </w:r>
      <w:r>
        <w:rPr>
          <w:rFonts w:hint="eastAsia"/>
          <w:sz w:val="24"/>
          <w:szCs w:val="24"/>
        </w:rPr>
        <w:t>.5</w:t>
      </w:r>
      <w:r>
        <w:rPr>
          <w:sz w:val="24"/>
          <w:szCs w:val="24"/>
        </w:rPr>
        <w:t>升温速率：</w:t>
      </w:r>
      <w:r>
        <w:rPr>
          <w:rFonts w:hint="eastAsia"/>
          <w:sz w:val="24"/>
          <w:szCs w:val="24"/>
        </w:rPr>
        <w:t xml:space="preserve">3-5℃/min </w:t>
      </w:r>
      <w:r>
        <w:rPr>
          <w:sz w:val="24"/>
          <w:szCs w:val="24"/>
        </w:rPr>
        <w:t>(空载时)</w:t>
      </w:r>
    </w:p>
    <w:p w14:paraId="32A47BBA">
      <w:pPr>
        <w:rPr>
          <w:sz w:val="24"/>
          <w:szCs w:val="24"/>
        </w:rPr>
      </w:pPr>
      <w:r>
        <w:rPr>
          <w:sz w:val="24"/>
          <w:szCs w:val="24"/>
        </w:rPr>
        <w:t>1</w:t>
      </w:r>
      <w:r>
        <w:rPr>
          <w:rFonts w:hint="eastAsia"/>
          <w:sz w:val="24"/>
          <w:szCs w:val="24"/>
        </w:rPr>
        <w:t xml:space="preserve">.6降温速率：0.7－1℃/min </w:t>
      </w:r>
      <w:r>
        <w:rPr>
          <w:sz w:val="24"/>
          <w:szCs w:val="24"/>
        </w:rPr>
        <w:t>(</w:t>
      </w:r>
      <w:r>
        <w:rPr>
          <w:rFonts w:hint="eastAsia"/>
          <w:sz w:val="24"/>
          <w:szCs w:val="24"/>
        </w:rPr>
        <w:t>空载时</w:t>
      </w:r>
      <w:r>
        <w:rPr>
          <w:sz w:val="24"/>
          <w:szCs w:val="24"/>
        </w:rPr>
        <w:t xml:space="preserve">) </w:t>
      </w:r>
    </w:p>
    <w:p w14:paraId="77F55F48">
      <w:pPr>
        <w:rPr>
          <w:sz w:val="24"/>
          <w:szCs w:val="24"/>
        </w:rPr>
      </w:pPr>
      <w:r>
        <w:rPr>
          <w:sz w:val="24"/>
          <w:szCs w:val="24"/>
        </w:rPr>
        <w:t>1.7 湿度范围：30%～98%R.H. (20-85</w:t>
      </w:r>
      <w:r>
        <w:rPr>
          <w:rFonts w:hint="eastAsia"/>
          <w:sz w:val="24"/>
          <w:szCs w:val="24"/>
        </w:rPr>
        <w:t>℃)</w:t>
      </w:r>
    </w:p>
    <w:p w14:paraId="23BD4DF8">
      <w:pPr>
        <w:rPr>
          <w:sz w:val="24"/>
          <w:szCs w:val="24"/>
        </w:rPr>
      </w:pPr>
      <w:r>
        <w:rPr>
          <w:sz w:val="24"/>
          <w:szCs w:val="24"/>
        </w:rPr>
        <w:t>1.8 湿度波动度：≤±2.5%R.H.</w:t>
      </w:r>
    </w:p>
    <w:p w14:paraId="7669A3BE">
      <w:pPr>
        <w:rPr>
          <w:sz w:val="24"/>
          <w:szCs w:val="24"/>
        </w:rPr>
      </w:pPr>
      <w:r>
        <w:rPr>
          <w:sz w:val="24"/>
          <w:szCs w:val="24"/>
        </w:rPr>
        <w:t>1.9 湿度偏差：≤±3%</w:t>
      </w:r>
    </w:p>
    <w:p w14:paraId="58D039BD">
      <w:pPr>
        <w:rPr>
          <w:sz w:val="24"/>
          <w:szCs w:val="24"/>
        </w:rPr>
      </w:pPr>
      <w:r>
        <w:rPr>
          <w:sz w:val="24"/>
          <w:szCs w:val="24"/>
        </w:rPr>
        <w:t>1.10</w:t>
      </w:r>
      <w:r>
        <w:rPr>
          <w:rFonts w:hint="eastAsia"/>
          <w:sz w:val="24"/>
          <w:szCs w:val="24"/>
        </w:rPr>
        <w:t>具备交变试验温度、湿度和时间设定功能</w:t>
      </w:r>
    </w:p>
    <w:p w14:paraId="25527FE8">
      <w:pPr>
        <w:rPr>
          <w:sz w:val="24"/>
          <w:szCs w:val="24"/>
        </w:rPr>
      </w:pPr>
      <w:r>
        <w:rPr>
          <w:sz w:val="24"/>
          <w:szCs w:val="24"/>
        </w:rPr>
        <w:t>1.11试验箱工作室尺寸</w:t>
      </w:r>
      <w:r>
        <w:rPr>
          <w:rFonts w:hint="eastAsia"/>
          <w:sz w:val="24"/>
          <w:szCs w:val="24"/>
        </w:rPr>
        <w:t>≥</w:t>
      </w:r>
      <w:r>
        <w:rPr>
          <w:sz w:val="24"/>
          <w:szCs w:val="24"/>
        </w:rPr>
        <w:t xml:space="preserve">(D)1500 (W) 1000( H) </w:t>
      </w:r>
      <w:r>
        <w:rPr>
          <w:rFonts w:hint="eastAsia"/>
          <w:sz w:val="24"/>
          <w:szCs w:val="24"/>
        </w:rPr>
        <w:t>1</w:t>
      </w:r>
      <w:r>
        <w:rPr>
          <w:sz w:val="24"/>
          <w:szCs w:val="24"/>
        </w:rPr>
        <w:t>500（mm）</w:t>
      </w:r>
      <w:r>
        <w:rPr>
          <w:rFonts w:hint="eastAsia"/>
          <w:sz w:val="24"/>
          <w:szCs w:val="24"/>
        </w:rPr>
        <w:t xml:space="preserve"> </w:t>
      </w:r>
    </w:p>
    <w:p w14:paraId="5EB3CE5C">
      <w:pPr>
        <w:rPr>
          <w:sz w:val="24"/>
          <w:szCs w:val="24"/>
        </w:rPr>
      </w:pPr>
      <w:r>
        <w:rPr>
          <w:sz w:val="24"/>
          <w:szCs w:val="24"/>
        </w:rPr>
        <w:t>第三部分：产品结构，控制方式</w:t>
      </w:r>
    </w:p>
    <w:p w14:paraId="64D004FB">
      <w:pPr>
        <w:rPr>
          <w:sz w:val="24"/>
          <w:szCs w:val="24"/>
        </w:rPr>
      </w:pPr>
      <w:r>
        <w:rPr>
          <w:sz w:val="24"/>
          <w:szCs w:val="24"/>
        </w:rPr>
        <w:t>1 产品控温特色：平衡调温调湿控制系统</w:t>
      </w:r>
    </w:p>
    <w:p w14:paraId="6E66E531">
      <w:pPr>
        <w:rPr>
          <w:sz w:val="24"/>
          <w:szCs w:val="24"/>
        </w:rPr>
      </w:pPr>
      <w:r>
        <w:rPr>
          <w:rFonts w:hint="eastAsia"/>
          <w:sz w:val="24"/>
          <w:szCs w:val="24"/>
        </w:rPr>
        <w:t>2</w:t>
      </w:r>
      <w:r>
        <w:rPr>
          <w:sz w:val="24"/>
          <w:szCs w:val="24"/>
        </w:rPr>
        <w:t>结构及材质：</w:t>
      </w:r>
    </w:p>
    <w:p w14:paraId="1C3F94C4">
      <w:pPr>
        <w:rPr>
          <w:sz w:val="24"/>
          <w:szCs w:val="24"/>
        </w:rPr>
      </w:pPr>
      <w:r>
        <w:rPr>
          <w:rFonts w:hint="eastAsia"/>
          <w:sz w:val="24"/>
          <w:szCs w:val="24"/>
        </w:rPr>
        <w:t>2</w:t>
      </w:r>
      <w:r>
        <w:rPr>
          <w:sz w:val="24"/>
          <w:szCs w:val="24"/>
        </w:rPr>
        <w:t>.1内箱材质: 不锈钢板(SUS #304)，美观大方，便于清洁。</w:t>
      </w:r>
    </w:p>
    <w:p w14:paraId="2DFDD699">
      <w:pPr>
        <w:rPr>
          <w:sz w:val="24"/>
          <w:szCs w:val="24"/>
        </w:rPr>
      </w:pPr>
      <w:r>
        <w:rPr>
          <w:rFonts w:hint="eastAsia"/>
          <w:sz w:val="24"/>
          <w:szCs w:val="24"/>
        </w:rPr>
        <w:t>2</w:t>
      </w:r>
      <w:r>
        <w:rPr>
          <w:sz w:val="24"/>
          <w:szCs w:val="24"/>
        </w:rPr>
        <w:t>.2外箱材质: 外壳静电喷塑处理</w:t>
      </w:r>
    </w:p>
    <w:p w14:paraId="196E60F3">
      <w:pPr>
        <w:rPr>
          <w:sz w:val="24"/>
          <w:szCs w:val="24"/>
        </w:rPr>
      </w:pPr>
      <w:r>
        <w:rPr>
          <w:rFonts w:hint="eastAsia"/>
          <w:sz w:val="24"/>
          <w:szCs w:val="24"/>
        </w:rPr>
        <w:t>2</w:t>
      </w:r>
      <w:r>
        <w:rPr>
          <w:sz w:val="24"/>
          <w:szCs w:val="24"/>
        </w:rPr>
        <w:t>.3保温材质:超细玻璃纤维保温棉</w:t>
      </w:r>
    </w:p>
    <w:p w14:paraId="5B71B950">
      <w:pPr>
        <w:rPr>
          <w:sz w:val="24"/>
          <w:szCs w:val="24"/>
        </w:rPr>
      </w:pPr>
      <w:r>
        <w:rPr>
          <w:rFonts w:hint="eastAsia"/>
          <w:sz w:val="24"/>
          <w:szCs w:val="24"/>
        </w:rPr>
        <w:t>2</w:t>
      </w:r>
      <w:r>
        <w:rPr>
          <w:sz w:val="24"/>
          <w:szCs w:val="24"/>
        </w:rPr>
        <w:t>.4送风循环系统</w:t>
      </w:r>
    </w:p>
    <w:p w14:paraId="1357EEC9">
      <w:pPr>
        <w:rPr>
          <w:sz w:val="24"/>
          <w:szCs w:val="24"/>
        </w:rPr>
      </w:pPr>
      <w:r>
        <w:rPr>
          <w:sz w:val="24"/>
          <w:szCs w:val="24"/>
        </w:rPr>
        <w:t>2.5  低噪音循环马达</w:t>
      </w:r>
    </w:p>
    <w:p w14:paraId="68BACAAC">
      <w:pPr>
        <w:rPr>
          <w:sz w:val="24"/>
          <w:szCs w:val="24"/>
        </w:rPr>
      </w:pPr>
      <w:r>
        <w:rPr>
          <w:rFonts w:hint="eastAsia"/>
          <w:sz w:val="24"/>
          <w:szCs w:val="24"/>
        </w:rPr>
        <w:t>2</w:t>
      </w:r>
      <w:r>
        <w:rPr>
          <w:sz w:val="24"/>
          <w:szCs w:val="24"/>
        </w:rPr>
        <w:t>.6不锈钢加长轴心</w:t>
      </w:r>
    </w:p>
    <w:p w14:paraId="5C8CA41B">
      <w:pPr>
        <w:rPr>
          <w:strike/>
          <w:sz w:val="24"/>
          <w:szCs w:val="24"/>
        </w:rPr>
      </w:pPr>
      <w:r>
        <w:rPr>
          <w:rFonts w:hint="eastAsia"/>
          <w:sz w:val="24"/>
          <w:szCs w:val="24"/>
        </w:rPr>
        <w:t>2</w:t>
      </w:r>
      <w:r>
        <w:rPr>
          <w:sz w:val="24"/>
          <w:szCs w:val="24"/>
        </w:rPr>
        <w:t>.7多翼式扇叶</w:t>
      </w:r>
    </w:p>
    <w:p w14:paraId="002A1641">
      <w:pPr>
        <w:rPr>
          <w:sz w:val="24"/>
          <w:szCs w:val="24"/>
        </w:rPr>
      </w:pPr>
      <w:r>
        <w:rPr>
          <w:rFonts w:hint="eastAsia"/>
          <w:sz w:val="24"/>
          <w:szCs w:val="24"/>
        </w:rPr>
        <w:t>2</w:t>
      </w:r>
      <w:r>
        <w:rPr>
          <w:sz w:val="24"/>
          <w:szCs w:val="24"/>
        </w:rPr>
        <w:t>.8可调百叶导风口，确保试验箱内温度分布均匀</w:t>
      </w:r>
    </w:p>
    <w:p w14:paraId="107BA832">
      <w:pPr>
        <w:rPr>
          <w:strike/>
          <w:sz w:val="24"/>
          <w:szCs w:val="24"/>
        </w:rPr>
      </w:pPr>
      <w:r>
        <w:rPr>
          <w:rFonts w:hint="eastAsia"/>
          <w:sz w:val="24"/>
          <w:szCs w:val="24"/>
        </w:rPr>
        <w:t>2</w:t>
      </w:r>
      <w:r>
        <w:rPr>
          <w:sz w:val="24"/>
          <w:szCs w:val="24"/>
        </w:rPr>
        <w:t>.9箱门: 单开门</w:t>
      </w:r>
    </w:p>
    <w:p w14:paraId="3B6C5CB2">
      <w:pPr>
        <w:rPr>
          <w:sz w:val="24"/>
          <w:szCs w:val="24"/>
        </w:rPr>
      </w:pPr>
      <w:r>
        <w:rPr>
          <w:sz w:val="24"/>
          <w:szCs w:val="24"/>
        </w:rPr>
        <w:t>2.10箱门带有高亮度节能照明灯，能清晰的观察试验箱内的试验样品的情况。</w:t>
      </w:r>
    </w:p>
    <w:p w14:paraId="13F0A7FD">
      <w:pPr>
        <w:rPr>
          <w:sz w:val="24"/>
          <w:szCs w:val="24"/>
        </w:rPr>
      </w:pPr>
      <w:r>
        <w:rPr>
          <w:sz w:val="24"/>
          <w:szCs w:val="24"/>
        </w:rPr>
        <w:t>2.11.1电加热防结霜观察窗</w:t>
      </w:r>
      <w:r>
        <w:rPr>
          <w:rFonts w:hint="eastAsia"/>
          <w:sz w:val="24"/>
          <w:szCs w:val="24"/>
        </w:rPr>
        <w:t>。</w:t>
      </w:r>
    </w:p>
    <w:p w14:paraId="63444921">
      <w:pPr>
        <w:rPr>
          <w:sz w:val="24"/>
          <w:szCs w:val="24"/>
        </w:rPr>
      </w:pPr>
      <w:r>
        <w:rPr>
          <w:sz w:val="24"/>
          <w:szCs w:val="24"/>
        </w:rPr>
        <w:t>2.12 平面嵌入式把手</w:t>
      </w:r>
    </w:p>
    <w:p w14:paraId="1F66B1D5">
      <w:pPr>
        <w:rPr>
          <w:sz w:val="24"/>
          <w:szCs w:val="24"/>
        </w:rPr>
      </w:pPr>
      <w:r>
        <w:rPr>
          <w:sz w:val="24"/>
          <w:szCs w:val="24"/>
        </w:rPr>
        <w:t>3、冷冻系统：</w:t>
      </w:r>
    </w:p>
    <w:p w14:paraId="681B009E">
      <w:pPr>
        <w:rPr>
          <w:color w:val="0070C0"/>
          <w:sz w:val="24"/>
          <w:szCs w:val="24"/>
        </w:rPr>
      </w:pPr>
      <w:r>
        <w:rPr>
          <w:rFonts w:hint="eastAsia"/>
          <w:sz w:val="24"/>
          <w:szCs w:val="24"/>
        </w:rPr>
        <w:t>3</w:t>
      </w:r>
      <w:r>
        <w:rPr>
          <w:sz w:val="24"/>
          <w:szCs w:val="24"/>
        </w:rPr>
        <w:t>.1压缩机:泰康牌</w:t>
      </w:r>
      <w:r>
        <w:rPr>
          <w:rFonts w:hint="eastAsia"/>
          <w:sz w:val="24"/>
          <w:szCs w:val="24"/>
        </w:rPr>
        <w:t>、谷轮、比泽尔等</w:t>
      </w:r>
      <w:r>
        <w:rPr>
          <w:sz w:val="24"/>
          <w:szCs w:val="24"/>
        </w:rPr>
        <w:t>全封闭式压缩机</w:t>
      </w:r>
    </w:p>
    <w:p w14:paraId="0FB9C0F9">
      <w:pPr>
        <w:rPr>
          <w:strike/>
          <w:sz w:val="24"/>
          <w:szCs w:val="24"/>
          <w:highlight w:val="yellow"/>
        </w:rPr>
      </w:pPr>
      <w:r>
        <w:rPr>
          <w:rFonts w:hint="eastAsia"/>
          <w:sz w:val="24"/>
          <w:szCs w:val="24"/>
        </w:rPr>
        <w:t>3</w:t>
      </w:r>
      <w:r>
        <w:rPr>
          <w:sz w:val="24"/>
          <w:szCs w:val="24"/>
        </w:rPr>
        <w:t>.2冷媒:环保冷媒</w:t>
      </w:r>
    </w:p>
    <w:p w14:paraId="50C71969">
      <w:pPr>
        <w:rPr>
          <w:sz w:val="24"/>
          <w:szCs w:val="24"/>
        </w:rPr>
      </w:pPr>
      <w:r>
        <w:rPr>
          <w:rFonts w:hint="eastAsia"/>
          <w:sz w:val="24"/>
          <w:szCs w:val="24"/>
        </w:rPr>
        <w:t>3</w:t>
      </w:r>
      <w:r>
        <w:rPr>
          <w:sz w:val="24"/>
          <w:szCs w:val="24"/>
        </w:rPr>
        <w:t>.3冷凝器:鳍片式散热马达</w:t>
      </w:r>
    </w:p>
    <w:p w14:paraId="61287936">
      <w:pPr>
        <w:rPr>
          <w:sz w:val="24"/>
          <w:szCs w:val="24"/>
        </w:rPr>
      </w:pPr>
      <w:r>
        <w:rPr>
          <w:rFonts w:hint="eastAsia"/>
          <w:sz w:val="24"/>
          <w:szCs w:val="24"/>
        </w:rPr>
        <w:t>3</w:t>
      </w:r>
      <w:r>
        <w:rPr>
          <w:sz w:val="24"/>
          <w:szCs w:val="24"/>
        </w:rPr>
        <w:t>.4蒸发器:鳍片式多段式自动负载容量调整</w:t>
      </w:r>
    </w:p>
    <w:p w14:paraId="27E6B475">
      <w:pPr>
        <w:rPr>
          <w:sz w:val="24"/>
          <w:szCs w:val="24"/>
        </w:rPr>
      </w:pPr>
      <w:r>
        <w:rPr>
          <w:rFonts w:hint="eastAsia"/>
          <w:sz w:val="24"/>
          <w:szCs w:val="24"/>
        </w:rPr>
        <w:t>3</w:t>
      </w:r>
      <w:r>
        <w:rPr>
          <w:sz w:val="24"/>
          <w:szCs w:val="24"/>
        </w:rPr>
        <w:t>.5其它附件:干燥剂，修理阀，卡士妥</w:t>
      </w:r>
      <w:r>
        <w:rPr>
          <w:rFonts w:hint="eastAsia"/>
          <w:sz w:val="24"/>
          <w:szCs w:val="24"/>
        </w:rPr>
        <w:t>、丹佛斯或正泰</w:t>
      </w:r>
      <w:r>
        <w:rPr>
          <w:sz w:val="24"/>
          <w:szCs w:val="24"/>
        </w:rPr>
        <w:t>电磁阀</w:t>
      </w:r>
    </w:p>
    <w:p w14:paraId="480BB20B">
      <w:pPr>
        <w:rPr>
          <w:sz w:val="24"/>
          <w:szCs w:val="24"/>
        </w:rPr>
      </w:pPr>
      <w:r>
        <w:rPr>
          <w:rFonts w:hint="eastAsia"/>
          <w:sz w:val="24"/>
          <w:szCs w:val="24"/>
        </w:rPr>
        <w:t>3</w:t>
      </w:r>
      <w:r>
        <w:rPr>
          <w:sz w:val="24"/>
          <w:szCs w:val="24"/>
        </w:rPr>
        <w:t>.6膨胀系统:容量自动控制节流降压之冷冻系统</w:t>
      </w:r>
    </w:p>
    <w:p w14:paraId="7D1F9560">
      <w:pPr>
        <w:rPr>
          <w:sz w:val="24"/>
          <w:szCs w:val="24"/>
        </w:rPr>
      </w:pPr>
      <w:r>
        <w:rPr>
          <w:sz w:val="24"/>
          <w:szCs w:val="24"/>
        </w:rPr>
        <w:t>3.7冷却方式：风冷式</w:t>
      </w:r>
    </w:p>
    <w:p w14:paraId="3CE510E5">
      <w:pPr>
        <w:rPr>
          <w:sz w:val="24"/>
          <w:szCs w:val="24"/>
        </w:rPr>
      </w:pPr>
      <w:r>
        <w:rPr>
          <w:sz w:val="24"/>
          <w:szCs w:val="24"/>
        </w:rPr>
        <w:t>4、控制系统：</w:t>
      </w:r>
    </w:p>
    <w:p w14:paraId="781E0A6C">
      <w:pPr>
        <w:rPr>
          <w:strike/>
          <w:sz w:val="24"/>
          <w:szCs w:val="24"/>
        </w:rPr>
      </w:pPr>
      <w:r>
        <w:rPr>
          <w:rFonts w:hint="eastAsia"/>
          <w:sz w:val="24"/>
          <w:szCs w:val="24"/>
        </w:rPr>
        <w:t>4.1可程序温湿度控制器: 彩色液晶触摸显示器控制器规格</w:t>
      </w:r>
    </w:p>
    <w:p w14:paraId="1375D333">
      <w:pPr>
        <w:rPr>
          <w:strike/>
          <w:sz w:val="24"/>
          <w:szCs w:val="24"/>
        </w:rPr>
      </w:pPr>
      <w:r>
        <w:rPr>
          <w:rFonts w:hint="eastAsia"/>
          <w:sz w:val="24"/>
          <w:szCs w:val="24"/>
        </w:rPr>
        <w:t>a.</w:t>
      </w:r>
      <w:r>
        <w:rPr>
          <w:sz w:val="24"/>
          <w:szCs w:val="24"/>
        </w:rPr>
        <w:t xml:space="preserve"> 屏幕显示：LCD </w:t>
      </w:r>
      <w:r>
        <w:rPr>
          <w:rFonts w:hint="eastAsia"/>
          <w:sz w:val="24"/>
          <w:szCs w:val="24"/>
        </w:rPr>
        <w:t>全新真彩液晶</w:t>
      </w:r>
      <w:r>
        <w:rPr>
          <w:sz w:val="24"/>
          <w:szCs w:val="24"/>
        </w:rPr>
        <w:t>触摸显示器</w:t>
      </w:r>
    </w:p>
    <w:p w14:paraId="03AEEFBB">
      <w:pPr>
        <w:rPr>
          <w:sz w:val="24"/>
          <w:szCs w:val="24"/>
        </w:rPr>
      </w:pPr>
      <w:r>
        <w:rPr>
          <w:rFonts w:hint="eastAsia"/>
          <w:sz w:val="24"/>
          <w:szCs w:val="24"/>
        </w:rPr>
        <w:t>b.</w:t>
      </w:r>
      <w:r>
        <w:rPr>
          <w:sz w:val="24"/>
          <w:szCs w:val="24"/>
        </w:rPr>
        <w:t>通讯功能：配备标准的 RS232C/RS485 通讯接口，可实现与计算机连接远程监控，操作方便。</w:t>
      </w:r>
    </w:p>
    <w:p w14:paraId="207094C2">
      <w:pPr>
        <w:spacing w:line="360" w:lineRule="auto"/>
        <w:rPr>
          <w:sz w:val="24"/>
          <w:szCs w:val="24"/>
        </w:rPr>
      </w:pPr>
      <w:r>
        <w:rPr>
          <w:rFonts w:hint="eastAsia"/>
          <w:sz w:val="24"/>
          <w:szCs w:val="24"/>
        </w:rPr>
        <w:t>c. 具备交变试验温度、湿度和时间设定功能。</w:t>
      </w:r>
    </w:p>
    <w:p w14:paraId="6F3822AD">
      <w:pPr>
        <w:rPr>
          <w:strike/>
          <w:sz w:val="24"/>
          <w:szCs w:val="24"/>
        </w:rPr>
      </w:pPr>
      <w:r>
        <w:rPr>
          <w:sz w:val="24"/>
          <w:szCs w:val="24"/>
        </w:rPr>
        <w:t>d</w:t>
      </w:r>
      <w:r>
        <w:rPr>
          <w:rFonts w:hint="eastAsia"/>
          <w:sz w:val="24"/>
          <w:szCs w:val="24"/>
        </w:rPr>
        <w:t>.</w:t>
      </w:r>
      <w:r>
        <w:rPr>
          <w:sz w:val="24"/>
          <w:szCs w:val="24"/>
        </w:rPr>
        <w:t xml:space="preserve"> 附属功能：故障报警及原因提示功能，故障名称可更改，温度上限保护功能，定时及预约（自动停止及自动启动功能）</w:t>
      </w:r>
    </w:p>
    <w:p w14:paraId="2B000B82">
      <w:pPr>
        <w:rPr>
          <w:sz w:val="24"/>
          <w:szCs w:val="24"/>
        </w:rPr>
      </w:pPr>
      <w:r>
        <w:rPr>
          <w:rFonts w:hint="eastAsia"/>
          <w:sz w:val="24"/>
          <w:szCs w:val="24"/>
        </w:rPr>
        <w:t>4</w:t>
      </w:r>
      <w:r>
        <w:rPr>
          <w:sz w:val="24"/>
          <w:szCs w:val="24"/>
        </w:rPr>
        <w:t>.2加热加湿系统:</w:t>
      </w:r>
    </w:p>
    <w:p w14:paraId="3A9CF0B4">
      <w:pPr>
        <w:rPr>
          <w:strike/>
          <w:sz w:val="24"/>
          <w:szCs w:val="24"/>
        </w:rPr>
      </w:pPr>
      <w:r>
        <w:rPr>
          <w:rFonts w:hint="eastAsia"/>
          <w:sz w:val="24"/>
          <w:szCs w:val="24"/>
        </w:rPr>
        <w:t>4</w:t>
      </w:r>
      <w:r>
        <w:rPr>
          <w:sz w:val="24"/>
          <w:szCs w:val="24"/>
        </w:rPr>
        <w:t>.2.1加热器:镍铬合金丝型高效加热器</w:t>
      </w:r>
    </w:p>
    <w:p w14:paraId="16287485">
      <w:pPr>
        <w:rPr>
          <w:strike/>
          <w:sz w:val="24"/>
          <w:szCs w:val="24"/>
        </w:rPr>
      </w:pPr>
      <w:r>
        <w:rPr>
          <w:rFonts w:hint="eastAsia"/>
          <w:sz w:val="24"/>
          <w:szCs w:val="24"/>
        </w:rPr>
        <w:t>4</w:t>
      </w:r>
      <w:r>
        <w:rPr>
          <w:sz w:val="24"/>
          <w:szCs w:val="24"/>
        </w:rPr>
        <w:t>.2.2加湿器:不锈钢电镀加</w:t>
      </w:r>
      <w:r>
        <w:rPr>
          <w:rFonts w:hint="eastAsia"/>
          <w:sz w:val="24"/>
          <w:szCs w:val="24"/>
        </w:rPr>
        <w:t>湿</w:t>
      </w:r>
      <w:r>
        <w:rPr>
          <w:sz w:val="24"/>
          <w:szCs w:val="24"/>
        </w:rPr>
        <w:t>器</w:t>
      </w:r>
    </w:p>
    <w:p w14:paraId="60DDE3D9">
      <w:pPr>
        <w:rPr>
          <w:sz w:val="24"/>
          <w:szCs w:val="24"/>
        </w:rPr>
      </w:pPr>
      <w:r>
        <w:rPr>
          <w:rFonts w:hint="eastAsia"/>
          <w:sz w:val="24"/>
          <w:szCs w:val="24"/>
        </w:rPr>
        <w:t>4</w:t>
      </w:r>
      <w:r>
        <w:rPr>
          <w:sz w:val="24"/>
          <w:szCs w:val="24"/>
        </w:rPr>
        <w:t>.3水路系统：渐进补水式浮球控制阀，具有水位过低报警与自动补水双重功能，水箱存水水位观察管及缺水时报警提示功能。</w:t>
      </w:r>
    </w:p>
    <w:p w14:paraId="5DA5042F">
      <w:pPr>
        <w:rPr>
          <w:sz w:val="24"/>
          <w:szCs w:val="24"/>
        </w:rPr>
      </w:pPr>
      <w:r>
        <w:rPr>
          <w:sz w:val="24"/>
          <w:szCs w:val="24"/>
        </w:rPr>
        <w:t>4.4测温体: 不锈钢制测温体</w:t>
      </w:r>
    </w:p>
    <w:p w14:paraId="34234D25">
      <w:pPr>
        <w:rPr>
          <w:sz w:val="24"/>
          <w:szCs w:val="24"/>
        </w:rPr>
      </w:pPr>
      <w:r>
        <w:rPr>
          <w:rFonts w:hint="eastAsia"/>
          <w:sz w:val="24"/>
          <w:szCs w:val="24"/>
        </w:rPr>
        <w:t>4</w:t>
      </w:r>
      <w:r>
        <w:rPr>
          <w:sz w:val="24"/>
          <w:szCs w:val="24"/>
        </w:rPr>
        <w:t>.5安全装置:</w:t>
      </w:r>
    </w:p>
    <w:p w14:paraId="252349C6">
      <w:pPr>
        <w:rPr>
          <w:sz w:val="24"/>
          <w:szCs w:val="24"/>
        </w:rPr>
      </w:pPr>
      <w:r>
        <w:rPr>
          <w:rFonts w:hint="eastAsia"/>
          <w:sz w:val="24"/>
          <w:szCs w:val="24"/>
        </w:rPr>
        <w:t>4</w:t>
      </w:r>
      <w:r>
        <w:rPr>
          <w:sz w:val="24"/>
          <w:szCs w:val="24"/>
        </w:rPr>
        <w:t>.5.1加湿器防止保护器</w:t>
      </w:r>
    </w:p>
    <w:p w14:paraId="7B66CB83">
      <w:pPr>
        <w:rPr>
          <w:sz w:val="24"/>
          <w:szCs w:val="24"/>
        </w:rPr>
      </w:pPr>
      <w:r>
        <w:rPr>
          <w:rFonts w:hint="eastAsia"/>
          <w:sz w:val="24"/>
          <w:szCs w:val="24"/>
        </w:rPr>
        <w:t>4</w:t>
      </w:r>
      <w:r>
        <w:rPr>
          <w:sz w:val="24"/>
          <w:szCs w:val="24"/>
        </w:rPr>
        <w:t>.5.2欠相逆相保护开关</w:t>
      </w:r>
    </w:p>
    <w:p w14:paraId="02EC5EBD">
      <w:pPr>
        <w:rPr>
          <w:sz w:val="24"/>
          <w:szCs w:val="24"/>
        </w:rPr>
      </w:pPr>
      <w:r>
        <w:rPr>
          <w:rFonts w:hint="eastAsia"/>
          <w:sz w:val="24"/>
          <w:szCs w:val="24"/>
        </w:rPr>
        <w:t>4</w:t>
      </w:r>
      <w:r>
        <w:rPr>
          <w:sz w:val="24"/>
          <w:szCs w:val="24"/>
        </w:rPr>
        <w:t>.5.3压缩机高压保护开关</w:t>
      </w:r>
    </w:p>
    <w:p w14:paraId="1A93497C">
      <w:pPr>
        <w:rPr>
          <w:sz w:val="24"/>
          <w:szCs w:val="24"/>
        </w:rPr>
      </w:pPr>
      <w:r>
        <w:rPr>
          <w:rFonts w:hint="eastAsia"/>
          <w:sz w:val="24"/>
          <w:szCs w:val="24"/>
        </w:rPr>
        <w:t>4</w:t>
      </w:r>
      <w:r>
        <w:rPr>
          <w:sz w:val="24"/>
          <w:szCs w:val="24"/>
        </w:rPr>
        <w:t>.5.4压缩机过热保护开关</w:t>
      </w:r>
    </w:p>
    <w:p w14:paraId="5D7D958B">
      <w:pPr>
        <w:rPr>
          <w:sz w:val="24"/>
          <w:szCs w:val="24"/>
        </w:rPr>
      </w:pPr>
      <w:r>
        <w:rPr>
          <w:rFonts w:hint="eastAsia"/>
          <w:sz w:val="24"/>
          <w:szCs w:val="24"/>
        </w:rPr>
        <w:t>4</w:t>
      </w:r>
      <w:r>
        <w:rPr>
          <w:sz w:val="24"/>
          <w:szCs w:val="24"/>
        </w:rPr>
        <w:t>.5.5压缩机过电流保护开关</w:t>
      </w:r>
    </w:p>
    <w:p w14:paraId="24C69010">
      <w:pPr>
        <w:rPr>
          <w:sz w:val="24"/>
          <w:szCs w:val="24"/>
        </w:rPr>
      </w:pPr>
      <w:r>
        <w:rPr>
          <w:rFonts w:hint="eastAsia"/>
          <w:sz w:val="24"/>
          <w:szCs w:val="24"/>
        </w:rPr>
        <w:t>4</w:t>
      </w:r>
      <w:r>
        <w:rPr>
          <w:sz w:val="24"/>
          <w:szCs w:val="24"/>
        </w:rPr>
        <w:t>.5.6无熔丝开关</w:t>
      </w:r>
    </w:p>
    <w:p w14:paraId="352B9AD5">
      <w:pPr>
        <w:rPr>
          <w:sz w:val="24"/>
          <w:szCs w:val="24"/>
        </w:rPr>
      </w:pPr>
      <w:r>
        <w:rPr>
          <w:rFonts w:hint="eastAsia"/>
          <w:sz w:val="24"/>
          <w:szCs w:val="24"/>
        </w:rPr>
        <w:t>4</w:t>
      </w:r>
      <w:r>
        <w:rPr>
          <w:sz w:val="24"/>
          <w:szCs w:val="24"/>
        </w:rPr>
        <w:t>.5.7蜂鸣器异常报警装置</w:t>
      </w:r>
    </w:p>
    <w:p w14:paraId="1C0D1C1F">
      <w:pPr>
        <w:rPr>
          <w:sz w:val="24"/>
          <w:szCs w:val="24"/>
        </w:rPr>
      </w:pPr>
      <w:r>
        <w:rPr>
          <w:sz w:val="24"/>
          <w:szCs w:val="24"/>
        </w:rPr>
        <w:t>5、标准配置:</w:t>
      </w:r>
    </w:p>
    <w:p w14:paraId="673607FF">
      <w:pPr>
        <w:rPr>
          <w:sz w:val="24"/>
          <w:szCs w:val="24"/>
        </w:rPr>
      </w:pPr>
      <w:r>
        <w:rPr>
          <w:sz w:val="24"/>
          <w:szCs w:val="24"/>
        </w:rPr>
        <w:t>5.1</w:t>
      </w:r>
      <w:r>
        <w:rPr>
          <w:rFonts w:hint="eastAsia"/>
          <w:sz w:val="24"/>
          <w:szCs w:val="24"/>
        </w:rPr>
        <w:t xml:space="preserve"> </w:t>
      </w:r>
      <w:r>
        <w:rPr>
          <w:sz w:val="24"/>
          <w:szCs w:val="24"/>
        </w:rPr>
        <w:t xml:space="preserve"> 低阻抗橡胶电缆线 1 条</w:t>
      </w:r>
    </w:p>
    <w:p w14:paraId="274BB25C">
      <w:pPr>
        <w:rPr>
          <w:sz w:val="24"/>
          <w:szCs w:val="24"/>
        </w:rPr>
      </w:pPr>
      <w:r>
        <w:rPr>
          <w:sz w:val="24"/>
          <w:szCs w:val="24"/>
        </w:rPr>
        <w:t>5.2不锈钢SUS #304方型冲孔钢板置物架2片</w:t>
      </w:r>
    </w:p>
    <w:p w14:paraId="4FC8F74D">
      <w:pPr>
        <w:rPr>
          <w:sz w:val="24"/>
          <w:szCs w:val="24"/>
        </w:rPr>
      </w:pPr>
      <w:r>
        <w:rPr>
          <w:rFonts w:hint="eastAsia"/>
          <w:sz w:val="24"/>
          <w:szCs w:val="24"/>
        </w:rPr>
        <w:t>5</w:t>
      </w:r>
      <w:r>
        <w:rPr>
          <w:sz w:val="24"/>
          <w:szCs w:val="24"/>
        </w:rPr>
        <w:t>.3不锈钢可调整间距置物架轨道2组</w:t>
      </w:r>
    </w:p>
    <w:p w14:paraId="63C73151">
      <w:pPr>
        <w:rPr>
          <w:sz w:val="24"/>
          <w:szCs w:val="24"/>
        </w:rPr>
      </w:pPr>
      <w:r>
        <w:rPr>
          <w:rFonts w:hint="eastAsia"/>
          <w:sz w:val="24"/>
          <w:szCs w:val="24"/>
        </w:rPr>
        <w:t>5</w:t>
      </w:r>
      <w:r>
        <w:rPr>
          <w:sz w:val="24"/>
          <w:szCs w:val="24"/>
        </w:rPr>
        <w:t>.4节能照明灯1支</w:t>
      </w:r>
    </w:p>
    <w:p w14:paraId="42BA89D4">
      <w:pPr>
        <w:rPr>
          <w:sz w:val="24"/>
          <w:szCs w:val="24"/>
        </w:rPr>
      </w:pPr>
      <w:r>
        <w:rPr>
          <w:rFonts w:hint="eastAsia"/>
          <w:sz w:val="24"/>
          <w:szCs w:val="24"/>
        </w:rPr>
        <w:t>5</w:t>
      </w:r>
      <w:r>
        <w:rPr>
          <w:sz w:val="24"/>
          <w:szCs w:val="24"/>
        </w:rPr>
        <w:t>.6操作说明书一套</w:t>
      </w:r>
    </w:p>
    <w:p w14:paraId="5EEC2970">
      <w:pPr>
        <w:rPr>
          <w:sz w:val="24"/>
          <w:szCs w:val="24"/>
        </w:rPr>
      </w:pPr>
      <w:r>
        <w:rPr>
          <w:sz w:val="24"/>
          <w:szCs w:val="24"/>
        </w:rPr>
        <w:t>6、周围环境：</w:t>
      </w:r>
    </w:p>
    <w:p w14:paraId="3F211E39">
      <w:pPr>
        <w:rPr>
          <w:sz w:val="24"/>
          <w:szCs w:val="24"/>
        </w:rPr>
      </w:pPr>
      <w:r>
        <w:rPr>
          <w:sz w:val="24"/>
          <w:szCs w:val="24"/>
        </w:rPr>
        <w:t>6.1、海拨高度：1000m以下</w:t>
      </w:r>
      <w:r>
        <w:rPr>
          <w:sz w:val="24"/>
          <w:szCs w:val="24"/>
        </w:rPr>
        <w:br w:type="textWrapping"/>
      </w:r>
      <w:r>
        <w:rPr>
          <w:sz w:val="24"/>
          <w:szCs w:val="24"/>
        </w:rPr>
        <w:t>6.2、环境温度：室外极端最低温度-19.7℃、极端最高温度42℃，昼夜最大温差25℃；室内温度5～45℃。</w:t>
      </w:r>
      <w:r>
        <w:rPr>
          <w:sz w:val="24"/>
          <w:szCs w:val="24"/>
        </w:rPr>
        <w:br w:type="textWrapping"/>
      </w:r>
      <w:r>
        <w:rPr>
          <w:sz w:val="24"/>
          <w:szCs w:val="24"/>
        </w:rPr>
        <w:t>6</w:t>
      </w:r>
      <w:r>
        <w:rPr>
          <w:rFonts w:hint="eastAsia"/>
          <w:sz w:val="24"/>
          <w:szCs w:val="24"/>
        </w:rPr>
        <w:t>.</w:t>
      </w:r>
      <w:r>
        <w:rPr>
          <w:sz w:val="24"/>
          <w:szCs w:val="24"/>
        </w:rPr>
        <w:t>3、相对湿度：年平均59%，最大95%、最小15%。</w:t>
      </w:r>
      <w:r>
        <w:rPr>
          <w:sz w:val="24"/>
          <w:szCs w:val="24"/>
        </w:rPr>
        <w:br w:type="textWrapping"/>
      </w:r>
      <w:r>
        <w:rPr>
          <w:rFonts w:hint="eastAsia"/>
          <w:sz w:val="24"/>
          <w:szCs w:val="24"/>
        </w:rPr>
        <w:t>6</w:t>
      </w:r>
      <w:r>
        <w:rPr>
          <w:sz w:val="24"/>
          <w:szCs w:val="24"/>
        </w:rPr>
        <w:t>.4无阳光直接照射或其它热源直接照射</w:t>
      </w:r>
    </w:p>
    <w:p w14:paraId="6C8CEABC">
      <w:pPr>
        <w:rPr>
          <w:sz w:val="24"/>
          <w:szCs w:val="24"/>
        </w:rPr>
      </w:pPr>
      <w:r>
        <w:rPr>
          <w:rFonts w:hint="eastAsia"/>
          <w:sz w:val="24"/>
          <w:szCs w:val="24"/>
        </w:rPr>
        <w:t>6</w:t>
      </w:r>
      <w:r>
        <w:rPr>
          <w:sz w:val="24"/>
          <w:szCs w:val="24"/>
        </w:rPr>
        <w:t>.5周围无高浓度粉尘及腐蚀性物质</w:t>
      </w:r>
    </w:p>
    <w:p w14:paraId="6AD32BAE">
      <w:pPr>
        <w:rPr>
          <w:sz w:val="24"/>
          <w:szCs w:val="24"/>
        </w:rPr>
      </w:pPr>
      <w:r>
        <w:rPr>
          <w:rFonts w:hint="eastAsia"/>
          <w:sz w:val="24"/>
          <w:szCs w:val="24"/>
        </w:rPr>
        <w:t>6</w:t>
      </w:r>
      <w:r>
        <w:rPr>
          <w:sz w:val="24"/>
          <w:szCs w:val="24"/>
        </w:rPr>
        <w:t>.6试验箱应放置平稳，保持水平</w:t>
      </w:r>
    </w:p>
    <w:p w14:paraId="28DF55C7">
      <w:pPr>
        <w:rPr>
          <w:sz w:val="24"/>
          <w:szCs w:val="24"/>
        </w:rPr>
      </w:pPr>
      <w:r>
        <w:rPr>
          <w:rFonts w:hint="eastAsia"/>
          <w:sz w:val="24"/>
          <w:szCs w:val="24"/>
        </w:rPr>
        <w:t>6</w:t>
      </w:r>
      <w:r>
        <w:rPr>
          <w:sz w:val="24"/>
          <w:szCs w:val="24"/>
        </w:rPr>
        <w:t>.7试验箱的四周应留有一定的距离，方便维护操作</w:t>
      </w:r>
      <w:r>
        <w:rPr>
          <w:rFonts w:hint="eastAsia"/>
          <w:sz w:val="24"/>
          <w:szCs w:val="24"/>
        </w:rPr>
        <w:t>。</w:t>
      </w:r>
    </w:p>
    <w:p w14:paraId="76FCA5E5">
      <w:pPr>
        <w:rPr>
          <w:sz w:val="24"/>
          <w:szCs w:val="24"/>
        </w:rPr>
      </w:pPr>
      <w:r>
        <w:rPr>
          <w:rFonts w:hint="eastAsia"/>
          <w:sz w:val="24"/>
          <w:szCs w:val="24"/>
        </w:rPr>
        <w:t>6</w:t>
      </w:r>
      <w:r>
        <w:rPr>
          <w:sz w:val="24"/>
          <w:szCs w:val="24"/>
        </w:rPr>
        <w:t>.8</w:t>
      </w:r>
      <w:r>
        <w:rPr>
          <w:rFonts w:hint="eastAsia"/>
          <w:sz w:val="24"/>
          <w:szCs w:val="24"/>
        </w:rPr>
        <w:t>安装场地：通风良好；</w:t>
      </w:r>
      <w:r>
        <w:rPr>
          <w:sz w:val="24"/>
          <w:szCs w:val="24"/>
        </w:rPr>
        <w:t>周围无强烈振</w:t>
      </w:r>
      <w:r>
        <w:rPr>
          <w:rFonts w:hint="eastAsia"/>
          <w:sz w:val="24"/>
          <w:szCs w:val="24"/>
        </w:rPr>
        <w:t>。</w:t>
      </w:r>
    </w:p>
    <w:p w14:paraId="028D8586">
      <w:pPr>
        <w:rPr>
          <w:sz w:val="24"/>
          <w:szCs w:val="24"/>
        </w:rPr>
      </w:pPr>
      <w:r>
        <w:rPr>
          <w:rFonts w:hint="eastAsia"/>
          <w:sz w:val="24"/>
          <w:szCs w:val="24"/>
        </w:rPr>
        <w:t>7.加湿用水供水条件：建议用</w:t>
      </w:r>
      <w:r>
        <w:rPr>
          <w:sz w:val="24"/>
          <w:szCs w:val="24"/>
        </w:rPr>
        <w:t>纯净水</w:t>
      </w:r>
      <w:r>
        <w:rPr>
          <w:rFonts w:hint="eastAsia"/>
          <w:sz w:val="24"/>
          <w:szCs w:val="24"/>
        </w:rPr>
        <w:t>，其次选择自来水。</w:t>
      </w:r>
    </w:p>
    <w:p w14:paraId="46E6A03F">
      <w:pPr>
        <w:rPr>
          <w:sz w:val="24"/>
          <w:szCs w:val="24"/>
        </w:rPr>
      </w:pPr>
      <w:r>
        <w:rPr>
          <w:sz w:val="24"/>
          <w:szCs w:val="24"/>
        </w:rPr>
        <w:t>8、使用电源： AC 3ψ4W380V 50HZ；最大功率：15kw</w:t>
      </w:r>
    </w:p>
    <w:p w14:paraId="527CEE60">
      <w:pPr>
        <w:rPr>
          <w:sz w:val="24"/>
          <w:szCs w:val="24"/>
        </w:rPr>
      </w:pPr>
      <w:r>
        <w:rPr>
          <w:sz w:val="24"/>
          <w:szCs w:val="24"/>
        </w:rPr>
        <w:t>9、冷凝保护系统</w:t>
      </w:r>
    </w:p>
    <w:p w14:paraId="7CA49E6D">
      <w:pPr>
        <w:rPr>
          <w:strike/>
          <w:sz w:val="24"/>
          <w:szCs w:val="24"/>
        </w:rPr>
      </w:pPr>
      <w:r>
        <w:rPr>
          <w:sz w:val="24"/>
          <w:szCs w:val="24"/>
        </w:rPr>
        <w:t>冷凝保护系统的构成部件是一个除湿蒸发器， 它通过在做过低温试验后开始升温，对试验箱进行除湿，来防止测试样品产生凝露。</w:t>
      </w:r>
    </w:p>
    <w:p w14:paraId="7896F9A4">
      <w:pPr>
        <w:rPr>
          <w:sz w:val="24"/>
          <w:szCs w:val="24"/>
        </w:rPr>
      </w:pPr>
      <w:r>
        <w:rPr>
          <w:sz w:val="24"/>
          <w:szCs w:val="24"/>
        </w:rPr>
        <w:t>第四部分：随机技术文档</w:t>
      </w:r>
    </w:p>
    <w:p w14:paraId="257E89B3">
      <w:pPr>
        <w:rPr>
          <w:sz w:val="24"/>
          <w:szCs w:val="24"/>
        </w:rPr>
      </w:pPr>
      <w:r>
        <w:rPr>
          <w:sz w:val="24"/>
          <w:szCs w:val="24"/>
        </w:rPr>
        <w:t>随机技术文件包含，仪器使用说明书，合格证，保修卡</w:t>
      </w:r>
      <w:r>
        <w:rPr>
          <w:rFonts w:hint="eastAsia"/>
          <w:sz w:val="24"/>
          <w:szCs w:val="24"/>
        </w:rPr>
        <w:t>第三章</w:t>
      </w:r>
      <w:r>
        <w:rPr>
          <w:sz w:val="24"/>
          <w:szCs w:val="24"/>
        </w:rPr>
        <w:t xml:space="preserve">  </w:t>
      </w:r>
      <w:r>
        <w:rPr>
          <w:rFonts w:hint="eastAsia"/>
          <w:sz w:val="24"/>
          <w:szCs w:val="24"/>
        </w:rPr>
        <w:t>供货范围及供货方式</w:t>
      </w:r>
    </w:p>
    <w:p w14:paraId="05DE850F">
      <w:pPr>
        <w:rPr>
          <w:sz w:val="24"/>
          <w:szCs w:val="24"/>
        </w:rPr>
      </w:pPr>
      <w:r>
        <w:rPr>
          <w:rFonts w:hint="eastAsia"/>
          <w:sz w:val="24"/>
          <w:szCs w:val="24"/>
        </w:rPr>
        <w:t>第一节  供货范围</w:t>
      </w:r>
    </w:p>
    <w:p w14:paraId="77E60856">
      <w:pPr>
        <w:rPr>
          <w:sz w:val="24"/>
          <w:szCs w:val="24"/>
        </w:rPr>
      </w:pPr>
      <w:r>
        <w:rPr>
          <w:rFonts w:hint="eastAsia"/>
          <w:sz w:val="24"/>
          <w:szCs w:val="24"/>
        </w:rPr>
        <w:t>一、供货范围（按照组成项目主要构成一览表的所有最小单元逐一列示，要涵盖培训等内容）</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51"/>
        <w:gridCol w:w="913"/>
        <w:gridCol w:w="6837"/>
        <w:gridCol w:w="710"/>
      </w:tblGrid>
      <w:tr w14:paraId="2D97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2A6BF305">
            <w:pPr>
              <w:rPr>
                <w:sz w:val="24"/>
                <w:szCs w:val="24"/>
              </w:rPr>
            </w:pPr>
            <w:r>
              <w:rPr>
                <w:rFonts w:hint="eastAsia"/>
                <w:sz w:val="24"/>
                <w:szCs w:val="24"/>
              </w:rPr>
              <w:t>序号</w:t>
            </w:r>
          </w:p>
        </w:tc>
        <w:tc>
          <w:tcPr>
            <w:tcW w:w="501" w:type="pct"/>
            <w:vAlign w:val="center"/>
          </w:tcPr>
          <w:p w14:paraId="0A8F2369">
            <w:pPr>
              <w:rPr>
                <w:sz w:val="24"/>
                <w:szCs w:val="24"/>
              </w:rPr>
            </w:pPr>
            <w:r>
              <w:rPr>
                <w:rFonts w:hint="eastAsia"/>
                <w:sz w:val="24"/>
                <w:szCs w:val="24"/>
              </w:rPr>
              <w:t>名称</w:t>
            </w:r>
          </w:p>
        </w:tc>
        <w:tc>
          <w:tcPr>
            <w:tcW w:w="3750" w:type="pct"/>
            <w:vAlign w:val="center"/>
          </w:tcPr>
          <w:p w14:paraId="6183D0EE">
            <w:pPr>
              <w:rPr>
                <w:sz w:val="24"/>
                <w:szCs w:val="24"/>
              </w:rPr>
            </w:pPr>
            <w:r>
              <w:rPr>
                <w:rFonts w:hint="eastAsia"/>
                <w:sz w:val="24"/>
                <w:szCs w:val="24"/>
              </w:rPr>
              <w:t>单位</w:t>
            </w:r>
          </w:p>
        </w:tc>
        <w:tc>
          <w:tcPr>
            <w:tcW w:w="390" w:type="pct"/>
            <w:vAlign w:val="center"/>
          </w:tcPr>
          <w:p w14:paraId="5ED521D5">
            <w:pPr>
              <w:rPr>
                <w:sz w:val="24"/>
                <w:szCs w:val="24"/>
              </w:rPr>
            </w:pPr>
            <w:r>
              <w:rPr>
                <w:rFonts w:hint="eastAsia"/>
                <w:sz w:val="24"/>
                <w:szCs w:val="24"/>
              </w:rPr>
              <w:t>数量</w:t>
            </w:r>
          </w:p>
        </w:tc>
      </w:tr>
      <w:tr w14:paraId="2620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02B9B6F5">
            <w:pPr>
              <w:jc w:val="center"/>
              <w:rPr>
                <w:sz w:val="24"/>
                <w:szCs w:val="24"/>
              </w:rPr>
            </w:pPr>
            <w:r>
              <w:rPr>
                <w:sz w:val="24"/>
                <w:szCs w:val="24"/>
                <w:lang w:bidi="ar"/>
              </w:rPr>
              <w:t>1</w:t>
            </w:r>
          </w:p>
        </w:tc>
        <w:tc>
          <w:tcPr>
            <w:tcW w:w="501" w:type="pct"/>
            <w:vAlign w:val="center"/>
          </w:tcPr>
          <w:p w14:paraId="008250CB">
            <w:pPr>
              <w:rPr>
                <w:sz w:val="24"/>
                <w:szCs w:val="24"/>
              </w:rPr>
            </w:pPr>
            <w:r>
              <w:rPr>
                <w:rFonts w:hint="eastAsia"/>
                <w:sz w:val="24"/>
                <w:szCs w:val="24"/>
              </w:rPr>
              <w:t>箱体总成</w:t>
            </w:r>
          </w:p>
        </w:tc>
        <w:tc>
          <w:tcPr>
            <w:tcW w:w="3750" w:type="pct"/>
            <w:vAlign w:val="center"/>
          </w:tcPr>
          <w:p w14:paraId="3E689C5F">
            <w:pPr>
              <w:pStyle w:val="2"/>
              <w:rPr>
                <w:sz w:val="24"/>
                <w:szCs w:val="24"/>
              </w:rPr>
            </w:pPr>
            <w:r>
              <w:rPr>
                <w:sz w:val="24"/>
                <w:szCs w:val="24"/>
              </w:rPr>
              <w:t>面板、观察窗玻璃、测试孔、箱体、内胆、照明灯等</w:t>
            </w:r>
          </w:p>
        </w:tc>
        <w:tc>
          <w:tcPr>
            <w:tcW w:w="390" w:type="pct"/>
            <w:vAlign w:val="center"/>
          </w:tcPr>
          <w:p w14:paraId="78609980">
            <w:pPr>
              <w:rPr>
                <w:sz w:val="24"/>
                <w:szCs w:val="24"/>
              </w:rPr>
            </w:pPr>
            <w:r>
              <w:rPr>
                <w:rFonts w:hint="eastAsia"/>
                <w:sz w:val="24"/>
                <w:szCs w:val="24"/>
              </w:rPr>
              <w:t>1</w:t>
            </w:r>
          </w:p>
        </w:tc>
      </w:tr>
      <w:tr w14:paraId="3A4E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5DF142C5">
            <w:pPr>
              <w:jc w:val="center"/>
              <w:rPr>
                <w:sz w:val="24"/>
                <w:szCs w:val="24"/>
              </w:rPr>
            </w:pPr>
            <w:r>
              <w:rPr>
                <w:sz w:val="24"/>
                <w:szCs w:val="24"/>
                <w:lang w:bidi="ar"/>
              </w:rPr>
              <w:t>2</w:t>
            </w:r>
          </w:p>
        </w:tc>
        <w:tc>
          <w:tcPr>
            <w:tcW w:w="501" w:type="pct"/>
            <w:vAlign w:val="center"/>
          </w:tcPr>
          <w:p w14:paraId="28AFE940">
            <w:pPr>
              <w:rPr>
                <w:color w:val="FF0000"/>
                <w:sz w:val="24"/>
                <w:szCs w:val="24"/>
              </w:rPr>
            </w:pPr>
            <w:r>
              <w:rPr>
                <w:rFonts w:hint="eastAsia"/>
                <w:sz w:val="24"/>
                <w:szCs w:val="24"/>
              </w:rPr>
              <w:t>制冷系统</w:t>
            </w:r>
          </w:p>
        </w:tc>
        <w:tc>
          <w:tcPr>
            <w:tcW w:w="3750" w:type="pct"/>
            <w:vAlign w:val="center"/>
          </w:tcPr>
          <w:p w14:paraId="32AE2851">
            <w:pPr>
              <w:rPr>
                <w:sz w:val="24"/>
                <w:szCs w:val="24"/>
              </w:rPr>
            </w:pPr>
            <w:r>
              <w:rPr>
                <w:rFonts w:hint="eastAsia"/>
                <w:sz w:val="24"/>
                <w:szCs w:val="24"/>
              </w:rPr>
              <w:t>压缩机、制冷济、蒸发器、冷凝器、制冷管路干燥过滤以及电子</w:t>
            </w:r>
          </w:p>
          <w:p w14:paraId="70FAE6C6">
            <w:pPr>
              <w:rPr>
                <w:sz w:val="24"/>
                <w:szCs w:val="24"/>
              </w:rPr>
            </w:pPr>
            <w:r>
              <w:rPr>
                <w:rFonts w:hint="eastAsia"/>
                <w:sz w:val="24"/>
                <w:szCs w:val="24"/>
              </w:rPr>
              <w:t>元器件等</w:t>
            </w:r>
          </w:p>
        </w:tc>
        <w:tc>
          <w:tcPr>
            <w:tcW w:w="390" w:type="pct"/>
            <w:vAlign w:val="center"/>
          </w:tcPr>
          <w:p w14:paraId="3287E20B">
            <w:pPr>
              <w:rPr>
                <w:sz w:val="24"/>
                <w:szCs w:val="24"/>
              </w:rPr>
            </w:pPr>
            <w:r>
              <w:rPr>
                <w:rFonts w:hint="eastAsia"/>
                <w:sz w:val="24"/>
                <w:szCs w:val="24"/>
              </w:rPr>
              <w:t>1</w:t>
            </w:r>
          </w:p>
        </w:tc>
      </w:tr>
      <w:tr w14:paraId="1DF3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5B481DF1">
            <w:pPr>
              <w:jc w:val="center"/>
              <w:rPr>
                <w:sz w:val="24"/>
                <w:szCs w:val="24"/>
              </w:rPr>
            </w:pPr>
            <w:r>
              <w:rPr>
                <w:sz w:val="24"/>
                <w:szCs w:val="24"/>
                <w:lang w:bidi="ar"/>
              </w:rPr>
              <w:t>3</w:t>
            </w:r>
          </w:p>
        </w:tc>
        <w:tc>
          <w:tcPr>
            <w:tcW w:w="501" w:type="pct"/>
            <w:vAlign w:val="center"/>
          </w:tcPr>
          <w:p w14:paraId="31EF2524">
            <w:pPr>
              <w:rPr>
                <w:sz w:val="24"/>
                <w:szCs w:val="24"/>
              </w:rPr>
            </w:pPr>
            <w:r>
              <w:rPr>
                <w:rFonts w:hint="eastAsia"/>
                <w:sz w:val="24"/>
                <w:szCs w:val="24"/>
              </w:rPr>
              <w:t>加热系统</w:t>
            </w:r>
          </w:p>
        </w:tc>
        <w:tc>
          <w:tcPr>
            <w:tcW w:w="3750" w:type="pct"/>
            <w:vAlign w:val="center"/>
          </w:tcPr>
          <w:p w14:paraId="3E45EB20">
            <w:pPr>
              <w:rPr>
                <w:sz w:val="24"/>
                <w:szCs w:val="24"/>
              </w:rPr>
            </w:pPr>
            <w:r>
              <w:rPr>
                <w:rFonts w:hint="eastAsia"/>
                <w:sz w:val="24"/>
                <w:szCs w:val="24"/>
              </w:rPr>
              <w:t>加热、加湿、用水过滤、水泵、传感器以及电子元器件等</w:t>
            </w:r>
          </w:p>
        </w:tc>
        <w:tc>
          <w:tcPr>
            <w:tcW w:w="390" w:type="pct"/>
            <w:vAlign w:val="center"/>
          </w:tcPr>
          <w:p w14:paraId="31B3D233">
            <w:pPr>
              <w:rPr>
                <w:sz w:val="24"/>
                <w:szCs w:val="24"/>
              </w:rPr>
            </w:pPr>
            <w:r>
              <w:rPr>
                <w:rFonts w:hint="eastAsia"/>
                <w:sz w:val="24"/>
                <w:szCs w:val="24"/>
              </w:rPr>
              <w:t>1</w:t>
            </w:r>
          </w:p>
        </w:tc>
      </w:tr>
      <w:tr w14:paraId="36C2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19C4D700">
            <w:pPr>
              <w:jc w:val="center"/>
              <w:rPr>
                <w:sz w:val="24"/>
                <w:szCs w:val="24"/>
              </w:rPr>
            </w:pPr>
            <w:r>
              <w:rPr>
                <w:sz w:val="24"/>
                <w:szCs w:val="24"/>
                <w:lang w:bidi="ar"/>
              </w:rPr>
              <w:t>4</w:t>
            </w:r>
          </w:p>
        </w:tc>
        <w:tc>
          <w:tcPr>
            <w:tcW w:w="501" w:type="pct"/>
            <w:vAlign w:val="center"/>
          </w:tcPr>
          <w:p w14:paraId="3AFC7D44">
            <w:pPr>
              <w:rPr>
                <w:sz w:val="24"/>
                <w:szCs w:val="24"/>
              </w:rPr>
            </w:pPr>
            <w:r>
              <w:rPr>
                <w:rFonts w:hint="eastAsia"/>
                <w:sz w:val="24"/>
                <w:szCs w:val="24"/>
              </w:rPr>
              <w:t>控制系统</w:t>
            </w:r>
          </w:p>
        </w:tc>
        <w:tc>
          <w:tcPr>
            <w:tcW w:w="3750" w:type="pct"/>
            <w:vAlign w:val="center"/>
          </w:tcPr>
          <w:p w14:paraId="03B56BBA">
            <w:pPr>
              <w:rPr>
                <w:sz w:val="24"/>
                <w:szCs w:val="24"/>
                <w:lang w:bidi="ar"/>
              </w:rPr>
            </w:pPr>
            <w:r>
              <w:rPr>
                <w:sz w:val="24"/>
                <w:szCs w:val="24"/>
                <w:lang w:bidi="ar"/>
              </w:rPr>
              <w:t>控制仪表、控制系统软件以及电子元器件</w:t>
            </w:r>
          </w:p>
        </w:tc>
        <w:tc>
          <w:tcPr>
            <w:tcW w:w="390" w:type="pct"/>
            <w:vAlign w:val="center"/>
          </w:tcPr>
          <w:p w14:paraId="41074BB8">
            <w:pPr>
              <w:rPr>
                <w:color w:val="000000"/>
                <w:kern w:val="0"/>
                <w:sz w:val="24"/>
                <w:szCs w:val="24"/>
                <w:lang w:bidi="ar"/>
              </w:rPr>
            </w:pPr>
            <w:r>
              <w:rPr>
                <w:rFonts w:hint="eastAsia"/>
                <w:sz w:val="24"/>
                <w:szCs w:val="24"/>
              </w:rPr>
              <w:t>1</w:t>
            </w:r>
          </w:p>
        </w:tc>
      </w:tr>
      <w:tr w14:paraId="0B8A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28A4E05A">
            <w:pPr>
              <w:jc w:val="center"/>
              <w:rPr>
                <w:sz w:val="24"/>
                <w:szCs w:val="24"/>
              </w:rPr>
            </w:pPr>
            <w:r>
              <w:rPr>
                <w:sz w:val="24"/>
                <w:szCs w:val="24"/>
                <w:lang w:bidi="ar"/>
              </w:rPr>
              <w:t>5</w:t>
            </w:r>
          </w:p>
        </w:tc>
        <w:tc>
          <w:tcPr>
            <w:tcW w:w="501" w:type="pct"/>
            <w:vAlign w:val="center"/>
          </w:tcPr>
          <w:p w14:paraId="4C5A3927">
            <w:pPr>
              <w:rPr>
                <w:sz w:val="24"/>
                <w:szCs w:val="24"/>
              </w:rPr>
            </w:pPr>
            <w:r>
              <w:rPr>
                <w:rFonts w:hint="eastAsia"/>
                <w:sz w:val="24"/>
                <w:szCs w:val="24"/>
              </w:rPr>
              <w:t>通风系统</w:t>
            </w:r>
          </w:p>
        </w:tc>
        <w:tc>
          <w:tcPr>
            <w:tcW w:w="3750" w:type="pct"/>
            <w:vAlign w:val="center"/>
          </w:tcPr>
          <w:p w14:paraId="39950EBB">
            <w:pPr>
              <w:rPr>
                <w:sz w:val="24"/>
                <w:szCs w:val="24"/>
                <w:lang w:bidi="ar"/>
              </w:rPr>
            </w:pPr>
            <w:r>
              <w:rPr>
                <w:rFonts w:hint="eastAsia"/>
                <w:sz w:val="24"/>
                <w:szCs w:val="24"/>
                <w:lang w:bidi="ar"/>
              </w:rPr>
              <w:t>风道风管、风机、电机以及电子元器件</w:t>
            </w:r>
          </w:p>
        </w:tc>
        <w:tc>
          <w:tcPr>
            <w:tcW w:w="390" w:type="pct"/>
            <w:vAlign w:val="center"/>
          </w:tcPr>
          <w:p w14:paraId="7D977F89">
            <w:pPr>
              <w:rPr>
                <w:color w:val="000000"/>
                <w:kern w:val="0"/>
                <w:sz w:val="24"/>
                <w:szCs w:val="24"/>
                <w:lang w:bidi="ar"/>
              </w:rPr>
            </w:pPr>
            <w:r>
              <w:rPr>
                <w:rFonts w:hint="eastAsia"/>
                <w:sz w:val="24"/>
                <w:szCs w:val="24"/>
              </w:rPr>
              <w:t>1</w:t>
            </w:r>
          </w:p>
        </w:tc>
      </w:tr>
      <w:tr w14:paraId="4D0A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59D871E2">
            <w:pPr>
              <w:jc w:val="center"/>
              <w:rPr>
                <w:sz w:val="24"/>
                <w:szCs w:val="24"/>
              </w:rPr>
            </w:pPr>
            <w:r>
              <w:rPr>
                <w:sz w:val="24"/>
                <w:szCs w:val="24"/>
              </w:rPr>
              <w:t>6</w:t>
            </w:r>
          </w:p>
        </w:tc>
        <w:tc>
          <w:tcPr>
            <w:tcW w:w="501" w:type="pct"/>
            <w:vAlign w:val="center"/>
          </w:tcPr>
          <w:p w14:paraId="3632D155">
            <w:pPr>
              <w:rPr>
                <w:sz w:val="24"/>
                <w:szCs w:val="24"/>
              </w:rPr>
            </w:pPr>
            <w:r>
              <w:rPr>
                <w:rFonts w:hint="eastAsia"/>
                <w:sz w:val="24"/>
                <w:szCs w:val="24"/>
              </w:rPr>
              <w:t>其它附件</w:t>
            </w:r>
          </w:p>
        </w:tc>
        <w:tc>
          <w:tcPr>
            <w:tcW w:w="3750" w:type="pct"/>
            <w:vAlign w:val="center"/>
          </w:tcPr>
          <w:p w14:paraId="113AA58F">
            <w:pPr>
              <w:rPr>
                <w:sz w:val="24"/>
                <w:szCs w:val="24"/>
                <w:lang w:bidi="ar"/>
              </w:rPr>
            </w:pPr>
            <w:r>
              <w:rPr>
                <w:rFonts w:hint="eastAsia"/>
                <w:sz w:val="24"/>
                <w:szCs w:val="24"/>
                <w:lang w:bidi="ar"/>
              </w:rPr>
              <w:t>铜管、密封条、保温棉等</w:t>
            </w:r>
          </w:p>
        </w:tc>
        <w:tc>
          <w:tcPr>
            <w:tcW w:w="390" w:type="pct"/>
            <w:vAlign w:val="center"/>
          </w:tcPr>
          <w:p w14:paraId="134F9848">
            <w:pPr>
              <w:rPr>
                <w:color w:val="000000"/>
                <w:kern w:val="0"/>
                <w:sz w:val="24"/>
                <w:szCs w:val="24"/>
                <w:lang w:bidi="ar"/>
              </w:rPr>
            </w:pPr>
            <w:r>
              <w:rPr>
                <w:rFonts w:hint="eastAsia"/>
                <w:sz w:val="24"/>
                <w:szCs w:val="24"/>
              </w:rPr>
              <w:t>1</w:t>
            </w:r>
          </w:p>
        </w:tc>
      </w:tr>
      <w:tr w14:paraId="51FB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4F252DC7">
            <w:pPr>
              <w:jc w:val="center"/>
              <w:rPr>
                <w:sz w:val="24"/>
                <w:szCs w:val="24"/>
              </w:rPr>
            </w:pPr>
            <w:r>
              <w:rPr>
                <w:rFonts w:hint="eastAsia"/>
                <w:sz w:val="24"/>
                <w:szCs w:val="24"/>
              </w:rPr>
              <w:t>7</w:t>
            </w:r>
          </w:p>
        </w:tc>
        <w:tc>
          <w:tcPr>
            <w:tcW w:w="501" w:type="pct"/>
            <w:vAlign w:val="center"/>
          </w:tcPr>
          <w:p w14:paraId="539FF63B">
            <w:pPr>
              <w:rPr>
                <w:sz w:val="24"/>
                <w:szCs w:val="24"/>
              </w:rPr>
            </w:pPr>
            <w:r>
              <w:rPr>
                <w:rFonts w:hint="eastAsia"/>
                <w:sz w:val="24"/>
                <w:szCs w:val="24"/>
              </w:rPr>
              <w:t>安装、调试</w:t>
            </w:r>
          </w:p>
        </w:tc>
        <w:tc>
          <w:tcPr>
            <w:tcW w:w="3750" w:type="pct"/>
            <w:vAlign w:val="center"/>
          </w:tcPr>
          <w:p w14:paraId="64CE7EBA">
            <w:pPr>
              <w:rPr>
                <w:sz w:val="24"/>
                <w:szCs w:val="24"/>
              </w:rPr>
            </w:pPr>
            <w:r>
              <w:rPr>
                <w:rFonts w:hint="eastAsia"/>
                <w:sz w:val="24"/>
                <w:szCs w:val="24"/>
              </w:rPr>
              <w:t>卖方负责安装、调试工作</w:t>
            </w:r>
          </w:p>
        </w:tc>
        <w:tc>
          <w:tcPr>
            <w:tcW w:w="390" w:type="pct"/>
            <w:vAlign w:val="center"/>
          </w:tcPr>
          <w:p w14:paraId="3A0F2622">
            <w:pPr>
              <w:rPr>
                <w:sz w:val="24"/>
                <w:szCs w:val="24"/>
              </w:rPr>
            </w:pPr>
            <w:r>
              <w:rPr>
                <w:rFonts w:hint="eastAsia"/>
                <w:sz w:val="24"/>
                <w:szCs w:val="24"/>
              </w:rPr>
              <w:t>1</w:t>
            </w:r>
          </w:p>
        </w:tc>
      </w:tr>
      <w:tr w14:paraId="1427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57" w:type="pct"/>
            <w:vAlign w:val="center"/>
          </w:tcPr>
          <w:p w14:paraId="3455B0B7">
            <w:pPr>
              <w:jc w:val="center"/>
              <w:rPr>
                <w:sz w:val="24"/>
                <w:szCs w:val="24"/>
              </w:rPr>
            </w:pPr>
            <w:r>
              <w:rPr>
                <w:rFonts w:hint="eastAsia"/>
                <w:sz w:val="24"/>
                <w:szCs w:val="24"/>
              </w:rPr>
              <w:t>8</w:t>
            </w:r>
          </w:p>
        </w:tc>
        <w:tc>
          <w:tcPr>
            <w:tcW w:w="501" w:type="pct"/>
            <w:vAlign w:val="center"/>
          </w:tcPr>
          <w:p w14:paraId="7054CA45">
            <w:pPr>
              <w:rPr>
                <w:sz w:val="24"/>
                <w:szCs w:val="24"/>
              </w:rPr>
            </w:pPr>
            <w:r>
              <w:rPr>
                <w:rFonts w:hint="eastAsia"/>
                <w:sz w:val="24"/>
                <w:szCs w:val="24"/>
              </w:rPr>
              <w:t>培训</w:t>
            </w:r>
          </w:p>
        </w:tc>
        <w:tc>
          <w:tcPr>
            <w:tcW w:w="3750" w:type="pct"/>
            <w:vAlign w:val="center"/>
          </w:tcPr>
          <w:p w14:paraId="5C076A60">
            <w:pPr>
              <w:rPr>
                <w:sz w:val="24"/>
                <w:szCs w:val="24"/>
              </w:rPr>
            </w:pPr>
            <w:r>
              <w:rPr>
                <w:rFonts w:hint="eastAsia"/>
                <w:sz w:val="24"/>
                <w:szCs w:val="24"/>
              </w:rPr>
              <w:t>负责对买方操作、维修人员进行培训</w:t>
            </w:r>
          </w:p>
        </w:tc>
        <w:tc>
          <w:tcPr>
            <w:tcW w:w="390" w:type="pct"/>
            <w:vAlign w:val="center"/>
          </w:tcPr>
          <w:p w14:paraId="61D5DB86">
            <w:pPr>
              <w:rPr>
                <w:sz w:val="24"/>
                <w:szCs w:val="24"/>
              </w:rPr>
            </w:pPr>
            <w:r>
              <w:rPr>
                <w:rFonts w:hint="eastAsia"/>
                <w:sz w:val="24"/>
                <w:szCs w:val="24"/>
              </w:rPr>
              <w:t>1</w:t>
            </w:r>
          </w:p>
        </w:tc>
      </w:tr>
    </w:tbl>
    <w:p w14:paraId="194245DC">
      <w:pPr>
        <w:rPr>
          <w:sz w:val="24"/>
          <w:szCs w:val="24"/>
        </w:rPr>
      </w:pPr>
      <w:r>
        <w:rPr>
          <w:rFonts w:hint="eastAsia"/>
          <w:sz w:val="24"/>
          <w:szCs w:val="24"/>
        </w:rPr>
        <w:t>二、一般界定</w:t>
      </w:r>
    </w:p>
    <w:p w14:paraId="4C5E16C6">
      <w:pPr>
        <w:rPr>
          <w:sz w:val="24"/>
          <w:szCs w:val="24"/>
        </w:rPr>
      </w:pPr>
      <w:r>
        <w:rPr>
          <w:rFonts w:hint="eastAsia"/>
          <w:sz w:val="24"/>
          <w:szCs w:val="24"/>
        </w:rPr>
        <w:t>1、供货范围包括本技术标书“采购货物概况” 所列及所要求的货物（或生产线）。</w:t>
      </w:r>
    </w:p>
    <w:p w14:paraId="0F63E488">
      <w:pPr>
        <w:rPr>
          <w:sz w:val="24"/>
          <w:szCs w:val="24"/>
        </w:rPr>
      </w:pPr>
      <w:r>
        <w:rPr>
          <w:rFonts w:hint="eastAsia"/>
          <w:sz w:val="24"/>
          <w:szCs w:val="24"/>
        </w:rPr>
        <w:t>2、供货范围包括为保证货物（或生产线）正常安装、调试和验收完成及以前所必需的整套配件、附件及材料、油料、控制软件及程序或指令等。</w:t>
      </w:r>
    </w:p>
    <w:p w14:paraId="64F857C8">
      <w:pPr>
        <w:rPr>
          <w:sz w:val="24"/>
          <w:szCs w:val="24"/>
        </w:rPr>
      </w:pPr>
      <w:r>
        <w:rPr>
          <w:rFonts w:hint="eastAsia"/>
          <w:sz w:val="24"/>
          <w:szCs w:val="24"/>
        </w:rPr>
        <w:t>如果终验收完成后，投标方有需要收回的配件、附件、材料、油料等，应当在投标档的技术偏离条款中，予以详细说明；否则视同包括在供货范围之内。</w:t>
      </w:r>
    </w:p>
    <w:p w14:paraId="7A34FEAC">
      <w:pPr>
        <w:rPr>
          <w:sz w:val="24"/>
          <w:szCs w:val="24"/>
        </w:rPr>
      </w:pPr>
      <w:r>
        <w:rPr>
          <w:rFonts w:hint="eastAsia"/>
          <w:sz w:val="24"/>
          <w:szCs w:val="24"/>
        </w:rPr>
        <w:t>3、供货范围包括货物（或生产线）维护维修所必需的专用工具。</w:t>
      </w:r>
    </w:p>
    <w:p w14:paraId="17E8A294">
      <w:pPr>
        <w:rPr>
          <w:sz w:val="24"/>
          <w:szCs w:val="24"/>
        </w:rPr>
      </w:pPr>
      <w:r>
        <w:rPr>
          <w:rFonts w:hint="eastAsia"/>
          <w:sz w:val="24"/>
          <w:szCs w:val="24"/>
        </w:rPr>
        <w:t>4、供货范围包括货物（或生产线）为达到产品标准以及环保、消防和劳动安全卫生等国家法律、法规和标准、规范要求而配备但标书未明确提出的除尘系统、通风系统、近距离照明系统以及劳动安全防护设施（不包括人体防护用品）等使用现场配套的设备、材料等。</w:t>
      </w:r>
    </w:p>
    <w:p w14:paraId="0522F550">
      <w:pPr>
        <w:rPr>
          <w:sz w:val="24"/>
          <w:szCs w:val="24"/>
        </w:rPr>
      </w:pPr>
      <w:r>
        <w:rPr>
          <w:rFonts w:hint="eastAsia"/>
          <w:sz w:val="24"/>
          <w:szCs w:val="24"/>
        </w:rPr>
        <w:t>如投标方难以提供或无优势提供以及属于选用配置的，则应当在投标档的技术偏离条款中，予以详细说明并注明投标报价未包含该部分的货值。</w:t>
      </w:r>
    </w:p>
    <w:p w14:paraId="1D3149A2">
      <w:pPr>
        <w:rPr>
          <w:sz w:val="24"/>
          <w:szCs w:val="24"/>
        </w:rPr>
      </w:pPr>
      <w:r>
        <w:rPr>
          <w:rFonts w:hint="eastAsia"/>
          <w:sz w:val="24"/>
          <w:szCs w:val="24"/>
        </w:rPr>
        <w:t>5、供货范围包括为保证货物（或生产线）自身正常运行所必需的、满足使用地点环境条件的通风、冷却、降温等必需设施。</w:t>
      </w:r>
    </w:p>
    <w:p w14:paraId="6958F75A">
      <w:pPr>
        <w:rPr>
          <w:sz w:val="24"/>
          <w:szCs w:val="24"/>
        </w:rPr>
      </w:pPr>
      <w:r>
        <w:rPr>
          <w:rFonts w:hint="eastAsia"/>
          <w:sz w:val="24"/>
          <w:szCs w:val="24"/>
        </w:rPr>
        <w:t>6、以“交钥匙”方式采购的货物（或生产线），在满足技术标书本节上述要求之外，供货范围还包括如下界定（货物）：</w:t>
      </w:r>
    </w:p>
    <w:p w14:paraId="332AC648">
      <w:pPr>
        <w:rPr>
          <w:sz w:val="24"/>
          <w:szCs w:val="24"/>
        </w:rPr>
      </w:pPr>
      <w:r>
        <w:rPr>
          <w:rFonts w:hint="eastAsia"/>
          <w:sz w:val="24"/>
          <w:szCs w:val="24"/>
        </w:rPr>
        <w:t>① 招标方只提供货物（或生产线）所需的厂房以及砼基础（基础不含预埋螺栓、螺母及垫片）；只提供符合本技术标书中“采购货物概况”和“使用环境”章节所列明质量的电力、自来水、压缩空气、蒸汽、天然气（或煤气）管线至系统界面，如：系统电力界面的接线端，水、气、汽等外围管线端联接法兰外端面。投标方负责货物拆箱、货物到厂房的吊装、就位；</w:t>
      </w:r>
    </w:p>
    <w:p w14:paraId="060217F4">
      <w:pPr>
        <w:rPr>
          <w:sz w:val="24"/>
          <w:szCs w:val="24"/>
        </w:rPr>
      </w:pPr>
      <w:r>
        <w:rPr>
          <w:rFonts w:hint="eastAsia"/>
          <w:sz w:val="24"/>
          <w:szCs w:val="24"/>
        </w:rPr>
        <w:t>② 供货范围包括货物（或生产线）正常运行所必需的全套连线设备、材料等。如货物端联接法兰外端面之内的、电气系统界面压线板（插座等）之内的设备、材料、联接螺栓、垫片等。</w:t>
      </w:r>
    </w:p>
    <w:p w14:paraId="7717D8D8">
      <w:pPr>
        <w:rPr>
          <w:sz w:val="24"/>
          <w:szCs w:val="24"/>
        </w:rPr>
      </w:pPr>
      <w:r>
        <w:rPr>
          <w:rFonts w:hint="eastAsia"/>
          <w:sz w:val="24"/>
          <w:szCs w:val="24"/>
        </w:rPr>
        <w:t>③ 供货范围包括货物（或生产线）正常运行、使用所需要的过桥、护栏、防护网、盖板等辅助设施。</w:t>
      </w:r>
    </w:p>
    <w:p w14:paraId="52B0FB73">
      <w:pPr>
        <w:rPr>
          <w:rFonts w:ascii="Times New Roman" w:hAnsi="Times New Roman" w:cs="Times New Roman"/>
          <w:color w:val="000000"/>
          <w:sz w:val="24"/>
          <w:szCs w:val="24"/>
        </w:rPr>
      </w:pPr>
      <w:r>
        <w:rPr>
          <w:rFonts w:hint="eastAsia"/>
          <w:sz w:val="24"/>
          <w:szCs w:val="24"/>
        </w:rPr>
        <w:t>④ 供货范围包括招标档中无明确具体要求而投标方认为具备的其他货物。但是，在投标档报价明细中，该部分货物单独报价（该报价含运杂费及税费等其他费用，而且不再作为其他报价涉及的其他费用的计算基数）</w:t>
      </w:r>
      <w:r>
        <w:rPr>
          <w:rFonts w:hint="eastAsia" w:ascii="Times New Roman" w:hAnsi="Times New Roman" w:cs="Times New Roman"/>
          <w:color w:val="000000"/>
          <w:sz w:val="24"/>
          <w:szCs w:val="24"/>
        </w:rPr>
        <w:t>。</w:t>
      </w:r>
    </w:p>
    <w:p w14:paraId="167EEA95">
      <w:pPr>
        <w:rPr>
          <w:sz w:val="24"/>
          <w:szCs w:val="24"/>
        </w:rPr>
      </w:pPr>
      <w:r>
        <w:rPr>
          <w:rFonts w:hint="eastAsia"/>
          <w:sz w:val="24"/>
          <w:szCs w:val="24"/>
        </w:rPr>
        <w:t>三、备品备件、易损件和专用耗材供货范围</w:t>
      </w:r>
    </w:p>
    <w:p w14:paraId="081ABDD6">
      <w:pPr>
        <w:rPr>
          <w:sz w:val="24"/>
          <w:szCs w:val="24"/>
        </w:rPr>
      </w:pPr>
      <w:r>
        <w:rPr>
          <w:rFonts w:hint="eastAsia"/>
          <w:sz w:val="24"/>
          <w:szCs w:val="24"/>
        </w:rPr>
        <w:t>1、招标方招标档所指备品备件、易损件和专用耗材，是招标方为保证设备质保期之后正常运行一年所自备自用的备品备件、易损件和专用耗材；</w:t>
      </w:r>
    </w:p>
    <w:p w14:paraId="37744F8B">
      <w:pPr>
        <w:rPr>
          <w:sz w:val="24"/>
          <w:szCs w:val="24"/>
        </w:rPr>
      </w:pPr>
      <w:r>
        <w:rPr>
          <w:rFonts w:hint="eastAsia"/>
          <w:sz w:val="24"/>
          <w:szCs w:val="24"/>
        </w:rPr>
        <w:t>2、投标方应提供设备维修所必需的专用工具，并附详细清单（包括名称、型号、规格、单位、数量、生产厂家、单价、总价等条目）；</w:t>
      </w:r>
    </w:p>
    <w:p w14:paraId="3CFD472A">
      <w:pPr>
        <w:rPr>
          <w:sz w:val="24"/>
          <w:szCs w:val="24"/>
        </w:rPr>
      </w:pPr>
      <w:r>
        <w:rPr>
          <w:rFonts w:hint="eastAsia"/>
          <w:sz w:val="24"/>
          <w:szCs w:val="24"/>
        </w:rPr>
        <w:t>3、投标方应提供易损件和专用耗材的制造图纸及其技术要求等资料；</w:t>
      </w:r>
    </w:p>
    <w:p w14:paraId="017F129A">
      <w:pPr>
        <w:rPr>
          <w:sz w:val="24"/>
          <w:szCs w:val="24"/>
        </w:rPr>
      </w:pPr>
      <w:r>
        <w:rPr>
          <w:rFonts w:hint="eastAsia"/>
          <w:sz w:val="24"/>
          <w:szCs w:val="24"/>
        </w:rPr>
        <w:t>4、投标方按照合同总金额的2%向招标方提供备件，并提供备件清单，由招标方确认最终选择哪些作为备品备件。为了保证设备质保期满后，还能得到优惠的备件供应，投标方须提供每个部件的零件图，还需提供一份常用的零部件及外购件（含易损件、易耗品等）价格表及供货周期，以后每年以此次报价为基准，允许根据市场情况进行一次调整。标准设备和非标设备的工装备件清单、投标方、联系方式、价格，在合同签订之后四个月内提交给招标方。</w:t>
      </w:r>
    </w:p>
    <w:p w14:paraId="5A644F49">
      <w:pPr>
        <w:rPr>
          <w:sz w:val="24"/>
          <w:szCs w:val="24"/>
        </w:rPr>
      </w:pPr>
      <w:r>
        <w:rPr>
          <w:rFonts w:hint="eastAsia"/>
          <w:sz w:val="24"/>
          <w:szCs w:val="24"/>
        </w:rPr>
        <w:t>5.备品备件、易损件和专用耗材，其费用应分类单列，并计入投标总报价之内。</w:t>
      </w:r>
    </w:p>
    <w:p w14:paraId="1E162AB4">
      <w:pPr>
        <w:rPr>
          <w:sz w:val="24"/>
          <w:szCs w:val="24"/>
        </w:rPr>
      </w:pPr>
      <w:r>
        <w:rPr>
          <w:rFonts w:hint="eastAsia"/>
          <w:sz w:val="24"/>
          <w:szCs w:val="24"/>
        </w:rPr>
        <w:t>四、技术资料供货范围</w:t>
      </w:r>
    </w:p>
    <w:p w14:paraId="2A25FEA4">
      <w:pPr>
        <w:rPr>
          <w:sz w:val="24"/>
          <w:szCs w:val="24"/>
        </w:rPr>
      </w:pPr>
      <w:r>
        <w:rPr>
          <w:rFonts w:hint="eastAsia"/>
          <w:sz w:val="24"/>
          <w:szCs w:val="24"/>
        </w:rPr>
        <w:t>1、在终验收前，提供确定的维修所需要且招标方可以自行采购的外购件、外协件、电气元件及主要原材料的供货厂家明细表。</w:t>
      </w:r>
    </w:p>
    <w:p w14:paraId="357B6FBA">
      <w:pPr>
        <w:rPr>
          <w:sz w:val="24"/>
          <w:szCs w:val="24"/>
        </w:rPr>
      </w:pPr>
      <w:r>
        <w:rPr>
          <w:rFonts w:hint="eastAsia"/>
          <w:sz w:val="24"/>
          <w:szCs w:val="24"/>
        </w:rPr>
        <w:t>2、在终验收后、终验收后的第一笔货款支付日之前，提供包括货物（或生产线）的备品备件、易损件和专用耗材的图纸及技术参数、技术要求等资料。</w:t>
      </w:r>
    </w:p>
    <w:p w14:paraId="268ED83D">
      <w:pPr>
        <w:rPr>
          <w:sz w:val="24"/>
          <w:szCs w:val="24"/>
        </w:rPr>
      </w:pPr>
      <w:r>
        <w:rPr>
          <w:rFonts w:hint="eastAsia"/>
          <w:sz w:val="24"/>
          <w:szCs w:val="24"/>
        </w:rPr>
        <w:t>3、在终验收后、终验收后的第一笔货款支付日之前，提供关于采购货物的使用说明书、合格证等技术资料。</w:t>
      </w:r>
    </w:p>
    <w:p w14:paraId="2A361AAD">
      <w:pPr>
        <w:rPr>
          <w:sz w:val="24"/>
          <w:szCs w:val="24"/>
        </w:rPr>
      </w:pPr>
      <w:r>
        <w:rPr>
          <w:rFonts w:hint="eastAsia"/>
          <w:sz w:val="24"/>
          <w:szCs w:val="24"/>
        </w:rPr>
        <w:t>4、在终验收后、终验收后的第一笔货款支付日之前，提供关于采购货物（或生产线）的电气资料（包括接线图、原理图、布线图、梯形图等）。</w:t>
      </w:r>
    </w:p>
    <w:p w14:paraId="0AA131CC">
      <w:pPr>
        <w:rPr>
          <w:sz w:val="24"/>
          <w:szCs w:val="24"/>
        </w:rPr>
      </w:pPr>
      <w:r>
        <w:rPr>
          <w:rFonts w:hint="eastAsia"/>
          <w:sz w:val="24"/>
          <w:szCs w:val="24"/>
        </w:rPr>
        <w:t>5、本条款所列的技术资料、图片等，投标方应各</w:t>
      </w:r>
      <w:r>
        <w:rPr>
          <w:rFonts w:hint="eastAsia"/>
          <w:color w:val="000000"/>
          <w:sz w:val="24"/>
          <w:szCs w:val="24"/>
        </w:rPr>
        <w:t>提供2套，其中1套</w:t>
      </w:r>
      <w:r>
        <w:rPr>
          <w:rFonts w:hint="eastAsia"/>
          <w:sz w:val="24"/>
          <w:szCs w:val="24"/>
        </w:rPr>
        <w:t>为电子版光盘；每份技术档应装有目录清单，电子版及纸板内容编排一致，方便查阅。</w:t>
      </w:r>
    </w:p>
    <w:p w14:paraId="655650D9">
      <w:pPr>
        <w:rPr>
          <w:rFonts w:ascii="Times New Roman" w:hAnsi="Times New Roman" w:cs="Times New Roman"/>
          <w:color w:val="000000"/>
          <w:sz w:val="24"/>
          <w:szCs w:val="24"/>
        </w:rPr>
      </w:pPr>
      <w:r>
        <w:rPr>
          <w:rFonts w:hint="eastAsia"/>
          <w:sz w:val="24"/>
          <w:szCs w:val="24"/>
        </w:rPr>
        <w:t>6、本条款所列要求，如招标方认为投标方提供的资料不能满足要求时，有权要求投标方免费补充或增加。</w:t>
      </w:r>
    </w:p>
    <w:p w14:paraId="01EF6212">
      <w:pPr>
        <w:rPr>
          <w:sz w:val="24"/>
          <w:szCs w:val="24"/>
        </w:rPr>
      </w:pPr>
      <w:r>
        <w:rPr>
          <w:rFonts w:hint="eastAsia"/>
          <w:sz w:val="24"/>
          <w:szCs w:val="24"/>
        </w:rPr>
        <w:t>五、供货范围特别提示</w:t>
      </w:r>
    </w:p>
    <w:p w14:paraId="7EB22EBC">
      <w:pPr>
        <w:rPr>
          <w:sz w:val="24"/>
          <w:szCs w:val="24"/>
        </w:rPr>
      </w:pPr>
      <w:r>
        <w:rPr>
          <w:sz w:val="24"/>
          <w:szCs w:val="24"/>
        </w:rPr>
        <w:t>如果投标方认为本节所列的供货范围难以满足，则仍需要按照本要求提供，但该部分货物应当在投标报价中单独列明货物名称及质量、货值。</w:t>
      </w:r>
    </w:p>
    <w:p w14:paraId="49A0ADE8">
      <w:pPr>
        <w:jc w:val="center"/>
        <w:rPr>
          <w:sz w:val="24"/>
          <w:szCs w:val="24"/>
        </w:rPr>
      </w:pPr>
      <w:r>
        <w:rPr>
          <w:rFonts w:hint="eastAsia"/>
          <w:sz w:val="24"/>
          <w:szCs w:val="24"/>
        </w:rPr>
        <w:t>第二节  供货方式</w:t>
      </w:r>
    </w:p>
    <w:p w14:paraId="7B9CF674">
      <w:pPr>
        <w:rPr>
          <w:sz w:val="24"/>
          <w:szCs w:val="24"/>
        </w:rPr>
      </w:pPr>
      <w:r>
        <w:rPr>
          <w:rFonts w:hint="eastAsia"/>
          <w:sz w:val="24"/>
          <w:szCs w:val="24"/>
        </w:rPr>
        <w:t>一、供货方式</w:t>
      </w:r>
    </w:p>
    <w:p w14:paraId="18FC52C9">
      <w:pPr>
        <w:rPr>
          <w:sz w:val="24"/>
          <w:szCs w:val="24"/>
        </w:rPr>
      </w:pPr>
      <w:r>
        <w:rPr>
          <w:sz w:val="24"/>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23444791">
      <w:pPr>
        <w:rPr>
          <w:sz w:val="24"/>
          <w:szCs w:val="24"/>
        </w:rPr>
      </w:pPr>
      <w:r>
        <w:rPr>
          <w:rFonts w:hint="eastAsia"/>
          <w:sz w:val="24"/>
          <w:szCs w:val="24"/>
        </w:rPr>
        <w:t>二、供货地点</w:t>
      </w:r>
    </w:p>
    <w:p w14:paraId="2BE9EB32">
      <w:pPr>
        <w:rPr>
          <w:sz w:val="24"/>
          <w:szCs w:val="24"/>
        </w:rPr>
      </w:pPr>
      <w:r>
        <w:rPr>
          <w:rFonts w:hint="eastAsia"/>
          <w:sz w:val="24"/>
          <w:szCs w:val="24"/>
        </w:rPr>
        <w:t>中国重汽集团杭州发动机有限公司</w:t>
      </w:r>
      <w:r>
        <w:rPr>
          <w:sz w:val="24"/>
          <w:szCs w:val="24"/>
        </w:rPr>
        <w:t>。</w:t>
      </w:r>
    </w:p>
    <w:p w14:paraId="1D6C14CB">
      <w:pPr>
        <w:rPr>
          <w:sz w:val="24"/>
          <w:szCs w:val="24"/>
        </w:rPr>
      </w:pPr>
      <w:r>
        <w:rPr>
          <w:rFonts w:hint="eastAsia"/>
          <w:sz w:val="24"/>
          <w:szCs w:val="24"/>
        </w:rPr>
        <w:t>三、供货时间：</w:t>
      </w:r>
    </w:p>
    <w:p w14:paraId="70182EE3">
      <w:pPr>
        <w:rPr>
          <w:sz w:val="24"/>
          <w:szCs w:val="24"/>
        </w:rPr>
      </w:pPr>
      <w:r>
        <w:rPr>
          <w:rFonts w:hint="eastAsia"/>
          <w:sz w:val="24"/>
          <w:szCs w:val="24"/>
        </w:rPr>
        <w:t>自合同签定生效之日起，</w:t>
      </w:r>
      <w:r>
        <w:rPr>
          <w:rFonts w:hint="eastAsia"/>
          <w:sz w:val="24"/>
          <w:szCs w:val="24"/>
          <w:u w:val="single"/>
        </w:rPr>
        <w:t xml:space="preserve"> </w:t>
      </w:r>
      <w:r>
        <w:rPr>
          <w:sz w:val="24"/>
          <w:szCs w:val="24"/>
          <w:u w:val="single"/>
        </w:rPr>
        <w:t>9</w:t>
      </w:r>
      <w:r>
        <w:rPr>
          <w:rFonts w:hint="eastAsia"/>
          <w:sz w:val="24"/>
          <w:szCs w:val="24"/>
          <w:u w:val="single"/>
        </w:rPr>
        <w:t xml:space="preserve">0 </w:t>
      </w:r>
      <w:r>
        <w:rPr>
          <w:rFonts w:hint="eastAsia"/>
          <w:sz w:val="24"/>
          <w:szCs w:val="24"/>
        </w:rPr>
        <w:t>个日历日之内交货至供货地点。</w:t>
      </w:r>
    </w:p>
    <w:p w14:paraId="7E4286BA">
      <w:pPr>
        <w:rPr>
          <w:sz w:val="24"/>
          <w:szCs w:val="24"/>
        </w:rPr>
      </w:pPr>
      <w:r>
        <w:rPr>
          <w:rFonts w:hint="eastAsia"/>
          <w:sz w:val="24"/>
          <w:szCs w:val="24"/>
        </w:rPr>
        <w:t>接续</w:t>
      </w:r>
      <w:r>
        <w:rPr>
          <w:rFonts w:hint="eastAsia"/>
          <w:sz w:val="24"/>
          <w:szCs w:val="24"/>
          <w:u w:val="single"/>
        </w:rPr>
        <w:t xml:space="preserve"> </w:t>
      </w:r>
      <w:r>
        <w:rPr>
          <w:sz w:val="24"/>
          <w:szCs w:val="24"/>
          <w:u w:val="single"/>
        </w:rPr>
        <w:t>7</w:t>
      </w:r>
      <w:r>
        <w:rPr>
          <w:rFonts w:hint="eastAsia"/>
          <w:sz w:val="24"/>
          <w:szCs w:val="24"/>
          <w:u w:val="single"/>
        </w:rPr>
        <w:t xml:space="preserve"> </w:t>
      </w:r>
      <w:r>
        <w:rPr>
          <w:rFonts w:hint="eastAsia"/>
          <w:sz w:val="24"/>
          <w:szCs w:val="24"/>
        </w:rPr>
        <w:t>个日历日之内安装调试完毕。</w:t>
      </w:r>
    </w:p>
    <w:p w14:paraId="525EF11B">
      <w:pPr>
        <w:rPr>
          <w:sz w:val="24"/>
          <w:szCs w:val="24"/>
        </w:rPr>
      </w:pPr>
      <w:r>
        <w:rPr>
          <w:rFonts w:hint="eastAsia"/>
          <w:sz w:val="24"/>
          <w:szCs w:val="24"/>
        </w:rPr>
        <w:t>接续</w:t>
      </w:r>
      <w:r>
        <w:rPr>
          <w:rFonts w:hint="eastAsia"/>
          <w:sz w:val="24"/>
          <w:szCs w:val="24"/>
          <w:u w:val="single"/>
        </w:rPr>
        <w:t xml:space="preserve"> 3 </w:t>
      </w:r>
      <w:r>
        <w:rPr>
          <w:rFonts w:hint="eastAsia"/>
          <w:sz w:val="24"/>
          <w:szCs w:val="24"/>
        </w:rPr>
        <w:t>个日历日之内完成终验收。</w:t>
      </w:r>
    </w:p>
    <w:p w14:paraId="525BCE4A">
      <w:pPr>
        <w:rPr>
          <w:sz w:val="24"/>
          <w:szCs w:val="24"/>
        </w:rPr>
      </w:pPr>
      <w:r>
        <w:rPr>
          <w:rFonts w:hint="eastAsia"/>
          <w:sz w:val="24"/>
          <w:szCs w:val="24"/>
        </w:rPr>
        <w:t>安装调试工期超过规定时间的，投标人应当随标书提供详细的工期计划。</w:t>
      </w:r>
    </w:p>
    <w:p w14:paraId="631C6606">
      <w:pPr>
        <w:rPr>
          <w:sz w:val="24"/>
          <w:szCs w:val="24"/>
        </w:rPr>
      </w:pPr>
      <w:r>
        <w:rPr>
          <w:rFonts w:hint="eastAsia"/>
          <w:sz w:val="24"/>
          <w:szCs w:val="24"/>
        </w:rPr>
        <w:t>四、包装</w:t>
      </w:r>
    </w:p>
    <w:p w14:paraId="1409F559">
      <w:pPr>
        <w:rPr>
          <w:sz w:val="24"/>
          <w:szCs w:val="24"/>
        </w:rPr>
      </w:pPr>
      <w:r>
        <w:rPr>
          <w:sz w:val="24"/>
          <w:szCs w:val="24"/>
        </w:rPr>
        <w:t>1、所提供货物（或设备）的包装，应遵照国家标准和有关包装、包皮的技术条件，或按照最好的商业惯例进行包装。</w:t>
      </w:r>
    </w:p>
    <w:p w14:paraId="382A5ECF">
      <w:pPr>
        <w:rPr>
          <w:sz w:val="24"/>
          <w:szCs w:val="24"/>
        </w:rPr>
      </w:pPr>
      <w:r>
        <w:rPr>
          <w:sz w:val="24"/>
          <w:szCs w:val="24"/>
        </w:rPr>
        <w:t>2、包装应能满足所需要采取的运输方式（船运、汽运或铁路运输）、多次吊装卸装、卸货以及长期露天堆放要求，应能防止雨淋、受潮、生锈、腐蚀、受振、受磁以及机械和化学因素等引起的损坏。</w:t>
      </w:r>
    </w:p>
    <w:p w14:paraId="3C9ED3C3">
      <w:pPr>
        <w:rPr>
          <w:sz w:val="24"/>
          <w:szCs w:val="24"/>
        </w:rPr>
      </w:pPr>
      <w:r>
        <w:rPr>
          <w:sz w:val="24"/>
          <w:szCs w:val="24"/>
        </w:rPr>
        <w:t>3、所提供货物（或设备）的包装，应能防止其一般性被窃或受外力破坏；一般不得采用有大缝隙的板条包装。</w:t>
      </w:r>
    </w:p>
    <w:p w14:paraId="02720E63">
      <w:pPr>
        <w:rPr>
          <w:sz w:val="24"/>
          <w:szCs w:val="24"/>
        </w:rPr>
      </w:pPr>
      <w:r>
        <w:rPr>
          <w:sz w:val="24"/>
          <w:szCs w:val="24"/>
        </w:rPr>
        <w:t>4、应对包装件做必要的加固和固定，以防止运输可能造成的损坏。</w:t>
      </w:r>
    </w:p>
    <w:p w14:paraId="00149B0E">
      <w:pPr>
        <w:rPr>
          <w:sz w:val="24"/>
          <w:szCs w:val="24"/>
        </w:rPr>
      </w:pPr>
      <w:r>
        <w:rPr>
          <w:sz w:val="24"/>
          <w:szCs w:val="24"/>
        </w:rPr>
        <w:t>5、每个包装件应有装箱单，并至少标明名称、型号规格、数量、净重和毛重、投标方（或供货商）名称和制造日期等相关内容。</w:t>
      </w:r>
    </w:p>
    <w:p w14:paraId="46191DA4">
      <w:pPr>
        <w:rPr>
          <w:sz w:val="24"/>
          <w:szCs w:val="24"/>
        </w:rPr>
      </w:pPr>
      <w:r>
        <w:rPr>
          <w:sz w:val="24"/>
          <w:szCs w:val="24"/>
        </w:rPr>
        <w:t>6、每个包装箱应有明显标志，并具有中文书写的合同号、装运标志、发货和到货地点名称、发货人和收货人名称、货物名称和项目号、箱号和外型尺寸等内容。</w:t>
      </w:r>
    </w:p>
    <w:p w14:paraId="4E06DFA9">
      <w:pPr>
        <w:rPr>
          <w:sz w:val="24"/>
          <w:szCs w:val="24"/>
        </w:rPr>
      </w:pPr>
      <w:r>
        <w:rPr>
          <w:sz w:val="24"/>
          <w:szCs w:val="24"/>
        </w:rPr>
        <w:t>7、应按照不同的装运要求在包装箱上标明“小心轻放”、“箭头向上”、“防潮”、“防磁”、“不准平放”等标志，以及其他适用的国标通用标志。</w:t>
      </w:r>
    </w:p>
    <w:p w14:paraId="36F6DC09">
      <w:pPr>
        <w:rPr>
          <w:sz w:val="24"/>
          <w:szCs w:val="24"/>
        </w:rPr>
      </w:pPr>
      <w:r>
        <w:rPr>
          <w:sz w:val="24"/>
          <w:szCs w:val="24"/>
        </w:rPr>
        <w:t>8、包装箱应连续编号，不应出现重复编号。</w:t>
      </w:r>
    </w:p>
    <w:p w14:paraId="7FCED475">
      <w:pPr>
        <w:rPr>
          <w:sz w:val="24"/>
          <w:szCs w:val="24"/>
        </w:rPr>
      </w:pPr>
      <w:r>
        <w:rPr>
          <w:sz w:val="24"/>
          <w:szCs w:val="24"/>
        </w:rPr>
        <w:t>9、在不受到外界破坏情况下，包装应保证自交货日起一年内货物（或设备）完好无损。</w:t>
      </w:r>
    </w:p>
    <w:p w14:paraId="4B9FF2E7">
      <w:pPr>
        <w:rPr>
          <w:sz w:val="24"/>
          <w:szCs w:val="24"/>
        </w:rPr>
      </w:pPr>
      <w:r>
        <w:rPr>
          <w:rFonts w:hint="eastAsia"/>
          <w:sz w:val="24"/>
          <w:szCs w:val="24"/>
        </w:rPr>
        <w:t>五、运输</w:t>
      </w:r>
    </w:p>
    <w:p w14:paraId="3543DE63">
      <w:pPr>
        <w:rPr>
          <w:sz w:val="24"/>
          <w:szCs w:val="24"/>
        </w:rPr>
      </w:pPr>
      <w:r>
        <w:rPr>
          <w:sz w:val="24"/>
          <w:szCs w:val="24"/>
        </w:rPr>
        <w:t>1、应负责将货物（或设备）运到目的地，并必须做到货物（或设备）在任何运输过程中不受损坏和遗失。</w:t>
      </w:r>
    </w:p>
    <w:p w14:paraId="57722DEB">
      <w:pPr>
        <w:rPr>
          <w:sz w:val="24"/>
          <w:szCs w:val="24"/>
        </w:rPr>
      </w:pPr>
      <w:r>
        <w:rPr>
          <w:sz w:val="24"/>
          <w:szCs w:val="24"/>
        </w:rPr>
        <w:t>2、一般情况下，经由铁路、公路运输的包装件尺寸和重量不应超过国家所规定的尺寸限制。特殊情况应予以说明。</w:t>
      </w:r>
    </w:p>
    <w:p w14:paraId="46645D07">
      <w:pPr>
        <w:rPr>
          <w:sz w:val="24"/>
          <w:szCs w:val="24"/>
        </w:rPr>
      </w:pPr>
      <w:r>
        <w:rPr>
          <w:sz w:val="24"/>
          <w:szCs w:val="24"/>
        </w:rPr>
        <w:t>3、在每批货物（或设备）发出后，应立即通知买方；通知中应指明：合同号、货运单号、件数、重量和货物（或设备）发出日期等相关内容。</w:t>
      </w:r>
    </w:p>
    <w:p w14:paraId="0DF96A1A">
      <w:pPr>
        <w:rPr>
          <w:sz w:val="24"/>
          <w:szCs w:val="24"/>
        </w:rPr>
      </w:pPr>
      <w:r>
        <w:rPr>
          <w:sz w:val="24"/>
          <w:szCs w:val="24"/>
        </w:rPr>
        <w:t>4、货物（或设备）运抵交货地点后，应负责货物（或设备）的卸货、搬运、保管等事宜；或按照合同约定。</w:t>
      </w:r>
    </w:p>
    <w:p w14:paraId="3F78E0E3">
      <w:pPr>
        <w:rPr>
          <w:sz w:val="24"/>
          <w:szCs w:val="24"/>
        </w:rPr>
      </w:pPr>
      <w:r>
        <w:rPr>
          <w:sz w:val="24"/>
          <w:szCs w:val="24"/>
        </w:rPr>
        <w:t>第</w:t>
      </w:r>
      <w:r>
        <w:rPr>
          <w:rFonts w:hint="eastAsia"/>
          <w:sz w:val="24"/>
          <w:szCs w:val="24"/>
        </w:rPr>
        <w:t>四</w:t>
      </w:r>
      <w:r>
        <w:rPr>
          <w:sz w:val="24"/>
          <w:szCs w:val="24"/>
        </w:rPr>
        <w:t>章  质保期及售后服务</w:t>
      </w:r>
    </w:p>
    <w:p w14:paraId="456FCB52">
      <w:pPr>
        <w:rPr>
          <w:sz w:val="24"/>
          <w:szCs w:val="24"/>
        </w:rPr>
      </w:pPr>
      <w:r>
        <w:rPr>
          <w:rFonts w:hint="eastAsia"/>
          <w:sz w:val="24"/>
          <w:szCs w:val="24"/>
        </w:rPr>
        <w:t>一、质保期及质保要求</w:t>
      </w:r>
    </w:p>
    <w:p w14:paraId="1B57A08D">
      <w:pPr>
        <w:rPr>
          <w:sz w:val="24"/>
          <w:szCs w:val="24"/>
        </w:rPr>
      </w:pPr>
      <w:r>
        <w:rPr>
          <w:sz w:val="24"/>
          <w:szCs w:val="24"/>
        </w:rPr>
        <w:t>1、全部供货范围内的设备、材料、零配件和工器具等，除合同特别约定外，其质保期均自终验收签字生效之日起</w:t>
      </w:r>
      <w:r>
        <w:rPr>
          <w:rFonts w:hint="eastAsia"/>
          <w:sz w:val="24"/>
          <w:szCs w:val="24"/>
          <w:u w:val="single"/>
        </w:rPr>
        <w:t xml:space="preserve"> </w:t>
      </w:r>
      <w:r>
        <w:rPr>
          <w:sz w:val="24"/>
          <w:szCs w:val="24"/>
          <w:u w:val="single"/>
        </w:rPr>
        <w:t>12</w:t>
      </w:r>
      <w:r>
        <w:rPr>
          <w:rFonts w:hint="eastAsia"/>
          <w:sz w:val="24"/>
          <w:szCs w:val="24"/>
          <w:u w:val="single"/>
        </w:rPr>
        <w:t xml:space="preserve"> </w:t>
      </w:r>
      <w:r>
        <w:rPr>
          <w:sz w:val="24"/>
          <w:szCs w:val="24"/>
        </w:rPr>
        <w:t>个月。</w:t>
      </w:r>
    </w:p>
    <w:p w14:paraId="1CB91805">
      <w:pPr>
        <w:rPr>
          <w:sz w:val="24"/>
          <w:szCs w:val="24"/>
        </w:rPr>
      </w:pPr>
      <w:r>
        <w:rPr>
          <w:sz w:val="24"/>
          <w:szCs w:val="24"/>
        </w:rPr>
        <w:t>投标货物或涉及的关键总成和零件，如果有更长时间质保期，允许更改并说明，此将有利于投标方。设计使用寿命短于质保期的易损件除外，但属于易损件的，应当有明确说明。</w:t>
      </w:r>
    </w:p>
    <w:p w14:paraId="6501A18D">
      <w:pPr>
        <w:rPr>
          <w:sz w:val="24"/>
          <w:szCs w:val="24"/>
        </w:rPr>
      </w:pPr>
      <w:r>
        <w:rPr>
          <w:sz w:val="24"/>
          <w:szCs w:val="24"/>
        </w:rPr>
        <w:t>2、质保期之内，如果货物出现设备、总成、关键零部件或者多处一般零部件的二次以上的更换或维修行为，则质保期自更换或维修行为结束、货物重新正常运行使用之日起重新计算。</w:t>
      </w:r>
    </w:p>
    <w:p w14:paraId="59E64A30">
      <w:pPr>
        <w:rPr>
          <w:sz w:val="24"/>
          <w:szCs w:val="24"/>
        </w:rPr>
      </w:pPr>
      <w:r>
        <w:rPr>
          <w:sz w:val="24"/>
          <w:szCs w:val="24"/>
        </w:rPr>
        <w:t>3、质保期内免费提供零部件和及时有效的服务。质保期内因货物本身缺陷造成的各种故障，卖方应负责免费维修和服务。</w:t>
      </w:r>
    </w:p>
    <w:p w14:paraId="281BB3E5">
      <w:pPr>
        <w:rPr>
          <w:sz w:val="24"/>
          <w:szCs w:val="24"/>
        </w:rPr>
      </w:pPr>
      <w:r>
        <w:rPr>
          <w:sz w:val="24"/>
          <w:szCs w:val="24"/>
        </w:rPr>
        <w:t>4、质保期终止之日起一年内重复出现的质保期之内出现的故障，仍属质保范围而且应当免费。</w:t>
      </w:r>
    </w:p>
    <w:p w14:paraId="41B4C702">
      <w:pPr>
        <w:rPr>
          <w:sz w:val="24"/>
          <w:szCs w:val="24"/>
        </w:rPr>
      </w:pPr>
      <w:r>
        <w:rPr>
          <w:rFonts w:hint="eastAsia"/>
          <w:sz w:val="24"/>
          <w:szCs w:val="24"/>
        </w:rPr>
        <w:t>二、技术及培训服务</w:t>
      </w:r>
    </w:p>
    <w:p w14:paraId="7C8417EA">
      <w:pPr>
        <w:rPr>
          <w:sz w:val="24"/>
          <w:szCs w:val="24"/>
        </w:rPr>
      </w:pPr>
      <w:r>
        <w:rPr>
          <w:sz w:val="24"/>
          <w:szCs w:val="24"/>
        </w:rPr>
        <w:t>1</w:t>
      </w:r>
      <w:r>
        <w:rPr>
          <w:rFonts w:hint="eastAsia"/>
          <w:sz w:val="24"/>
          <w:szCs w:val="24"/>
        </w:rPr>
        <w:t>、应负责在买方货物使用现场，对技术、维修和操作人员提供免费的理论、技术和操作、维修等方面的技术指导和培训，并接受买方有关人员的技术咨询。培训工作日不少于</w:t>
      </w:r>
      <w:r>
        <w:rPr>
          <w:rFonts w:hint="eastAsia"/>
          <w:sz w:val="24"/>
          <w:szCs w:val="24"/>
          <w:u w:val="single"/>
        </w:rPr>
        <w:t>3</w:t>
      </w:r>
      <w:r>
        <w:rPr>
          <w:rFonts w:hint="eastAsia"/>
          <w:sz w:val="24"/>
          <w:szCs w:val="24"/>
        </w:rPr>
        <w:t>个工作日。</w:t>
      </w:r>
    </w:p>
    <w:p w14:paraId="4F11A228">
      <w:pPr>
        <w:rPr>
          <w:sz w:val="24"/>
          <w:szCs w:val="24"/>
        </w:rPr>
      </w:pPr>
      <w:r>
        <w:rPr>
          <w:sz w:val="24"/>
          <w:szCs w:val="24"/>
        </w:rPr>
        <w:t>2、应免费提供一定数量的培训资料。</w:t>
      </w:r>
    </w:p>
    <w:p w14:paraId="3ACD3ADB">
      <w:pPr>
        <w:rPr>
          <w:sz w:val="24"/>
          <w:szCs w:val="24"/>
        </w:rPr>
      </w:pPr>
      <w:r>
        <w:rPr>
          <w:sz w:val="24"/>
          <w:szCs w:val="24"/>
        </w:rPr>
        <w:t>3、应按要求免费积极协助和提供买方以及买方所委托的工程设计单位有关人员所需要的、与货物有关的工程设计资料、技术咨询等。</w:t>
      </w:r>
    </w:p>
    <w:p w14:paraId="510AD768">
      <w:pPr>
        <w:rPr>
          <w:sz w:val="24"/>
          <w:szCs w:val="24"/>
        </w:rPr>
      </w:pPr>
      <w:r>
        <w:rPr>
          <w:sz w:val="24"/>
          <w:szCs w:val="24"/>
        </w:rPr>
        <w:t>4、若卖方提供货物涉及到外购外协货物、而且该货物的技术质量等较为关键时，卖方应能保证得到配套厂家的技术支持，并免费为买方提供技术服务。</w:t>
      </w:r>
    </w:p>
    <w:p w14:paraId="2A273983">
      <w:pPr>
        <w:rPr>
          <w:sz w:val="24"/>
          <w:szCs w:val="24"/>
        </w:rPr>
      </w:pPr>
      <w:r>
        <w:rPr>
          <w:sz w:val="24"/>
          <w:szCs w:val="24"/>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190C9C0F">
      <w:pPr>
        <w:rPr>
          <w:sz w:val="24"/>
          <w:szCs w:val="24"/>
        </w:rPr>
      </w:pPr>
      <w:r>
        <w:rPr>
          <w:rFonts w:hint="eastAsia"/>
          <w:sz w:val="24"/>
          <w:szCs w:val="24"/>
        </w:rPr>
        <w:t>三、安装调试及验收服务</w:t>
      </w:r>
    </w:p>
    <w:p w14:paraId="4B024BF7">
      <w:pPr>
        <w:rPr>
          <w:sz w:val="24"/>
          <w:szCs w:val="24"/>
        </w:rPr>
      </w:pPr>
      <w:r>
        <w:rPr>
          <w:sz w:val="24"/>
          <w:szCs w:val="24"/>
        </w:rPr>
        <w:t>1、指导安装调试或负责安装调试以及协助验收，投标方均应在投标档中明确其收费额或免费约定，否则视同免费；安装调试及验收服务均应按照合同约定或协议、通知及时组织并完成。因卖方原因造成的延期，所发生的费用全部由卖方承担。</w:t>
      </w:r>
    </w:p>
    <w:p w14:paraId="53A6A7BB">
      <w:pPr>
        <w:rPr>
          <w:sz w:val="24"/>
          <w:szCs w:val="24"/>
        </w:rPr>
      </w:pPr>
      <w:r>
        <w:rPr>
          <w:sz w:val="24"/>
          <w:szCs w:val="24"/>
        </w:rPr>
        <w:t>2、若卖方提供的货物涉及到外购外协货物、而且该货物的技术质量等较为关键时，应保证能得到供应商的技术支持，并免费为买方提供安装使用现场的指导与培训。</w:t>
      </w:r>
    </w:p>
    <w:p w14:paraId="54E5F88B">
      <w:pPr>
        <w:rPr>
          <w:sz w:val="24"/>
          <w:szCs w:val="24"/>
        </w:rPr>
      </w:pPr>
      <w:r>
        <w:rPr>
          <w:sz w:val="24"/>
          <w:szCs w:val="24"/>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14:paraId="26D72BC5">
      <w:pPr>
        <w:rPr>
          <w:sz w:val="24"/>
          <w:szCs w:val="24"/>
        </w:rPr>
      </w:pPr>
      <w:r>
        <w:rPr>
          <w:sz w:val="24"/>
          <w:szCs w:val="24"/>
        </w:rPr>
        <w:t>4、在卖方所提供货物需要得到买方建设项目所在地政府或行业主管部门的查验、试验、验收时，卖方应当免费完成或协助招标方完成所需要的工作、材料和服务等。协助完成的，应当在投标档报价内容中予以说明，否则视同免费。</w:t>
      </w:r>
    </w:p>
    <w:p w14:paraId="1223DDF6">
      <w:pPr>
        <w:rPr>
          <w:sz w:val="24"/>
          <w:szCs w:val="24"/>
        </w:rPr>
      </w:pPr>
      <w:r>
        <w:rPr>
          <w:sz w:val="24"/>
          <w:szCs w:val="24"/>
        </w:rPr>
        <w:t>5、卖方应当向买方提供货物试验、验收的有关标准、规范和方法，同时提供货物涉及并使用的软件合法性证明。</w:t>
      </w:r>
    </w:p>
    <w:p w14:paraId="6ED17187">
      <w:pPr>
        <w:rPr>
          <w:sz w:val="24"/>
          <w:szCs w:val="24"/>
        </w:rPr>
      </w:pPr>
      <w:r>
        <w:rPr>
          <w:sz w:val="24"/>
          <w:szCs w:val="24"/>
        </w:rPr>
        <w:t>6、服务缺陷视同货物缺陷和履约延期。</w:t>
      </w:r>
    </w:p>
    <w:p w14:paraId="388660AF">
      <w:pPr>
        <w:rPr>
          <w:sz w:val="24"/>
          <w:szCs w:val="24"/>
        </w:rPr>
      </w:pPr>
      <w:r>
        <w:rPr>
          <w:rFonts w:hint="eastAsia"/>
          <w:sz w:val="24"/>
          <w:szCs w:val="24"/>
        </w:rPr>
        <w:t>四、售后服务</w:t>
      </w:r>
    </w:p>
    <w:p w14:paraId="343D47BE">
      <w:pPr>
        <w:rPr>
          <w:sz w:val="24"/>
          <w:szCs w:val="24"/>
        </w:rPr>
      </w:pPr>
      <w:r>
        <w:rPr>
          <w:sz w:val="24"/>
          <w:szCs w:val="24"/>
        </w:rPr>
        <w:t>1、卖方提供的货物涉及的所有售后服务均由卖方负责。如果发生问题并且收到通知，卖方应当在2小时内予以答复。</w:t>
      </w:r>
    </w:p>
    <w:p w14:paraId="67F2EA3F">
      <w:pPr>
        <w:rPr>
          <w:sz w:val="24"/>
          <w:szCs w:val="24"/>
        </w:rPr>
      </w:pPr>
      <w:r>
        <w:rPr>
          <w:sz w:val="24"/>
          <w:szCs w:val="24"/>
        </w:rPr>
        <w:t>2、</w:t>
      </w:r>
      <w:r>
        <w:rPr>
          <w:rFonts w:hint="eastAsia"/>
          <w:sz w:val="24"/>
          <w:szCs w:val="24"/>
        </w:rPr>
        <w:t>终验收合格后，质保期一年。在正常运行的情况下，系统出现故障，在接到通知后2小时以内予以答复，并在24小时以内派出服务人员，无偿维修；在质保期满后，投标方在接到通知后2小时以内予以答复，并在24小时以内派出服务人员</w:t>
      </w:r>
      <w:r>
        <w:rPr>
          <w:sz w:val="24"/>
          <w:szCs w:val="24"/>
        </w:rPr>
        <w:t>。</w:t>
      </w:r>
    </w:p>
    <w:p w14:paraId="60AC3E0F">
      <w:pPr>
        <w:rPr>
          <w:sz w:val="24"/>
          <w:szCs w:val="24"/>
        </w:rPr>
      </w:pPr>
      <w:r>
        <w:rPr>
          <w:sz w:val="24"/>
          <w:szCs w:val="24"/>
        </w:rPr>
        <w:t>3、卖方派往买方使用现场的人员，应具有较高的业务素质；现场解决问题时，不得无故拖延或推迟，应为买方提供最佳的服务。</w:t>
      </w:r>
    </w:p>
    <w:p w14:paraId="0A3DBCC3">
      <w:pPr>
        <w:rPr>
          <w:sz w:val="24"/>
          <w:szCs w:val="24"/>
        </w:rPr>
      </w:pPr>
      <w:r>
        <w:rPr>
          <w:rFonts w:hint="eastAsia"/>
          <w:sz w:val="24"/>
          <w:szCs w:val="24"/>
        </w:rPr>
        <w:t>五、其他服务</w:t>
      </w:r>
    </w:p>
    <w:p w14:paraId="0C6E5C64">
      <w:pPr>
        <w:rPr>
          <w:sz w:val="24"/>
          <w:szCs w:val="24"/>
        </w:rPr>
      </w:pPr>
      <w:r>
        <w:rPr>
          <w:sz w:val="24"/>
          <w:szCs w:val="24"/>
        </w:rPr>
        <w:t>1、若卖方所提供货物有需要进口的，卖方一般应自行、自费办理；必要时，买卖双方共同办理。</w:t>
      </w:r>
    </w:p>
    <w:p w14:paraId="5D2089A3">
      <w:pPr>
        <w:rPr>
          <w:sz w:val="24"/>
          <w:szCs w:val="24"/>
        </w:rPr>
      </w:pPr>
      <w:r>
        <w:rPr>
          <w:sz w:val="24"/>
          <w:szCs w:val="24"/>
        </w:rPr>
        <w:t>2、除招标档、投标档、答疑档、技术协议、合同等约定之外，卖方应免费负责必要的或强制性的货物的检验、试验、化验等直接费用。</w:t>
      </w:r>
    </w:p>
    <w:p w14:paraId="1A9F2F7A">
      <w:pPr>
        <w:pStyle w:val="2"/>
        <w:rPr>
          <w:rFonts w:hint="eastAsia" w:eastAsiaTheme="minorEastAsia"/>
          <w:lang w:val="en-US" w:eastAsia="zh-CN"/>
        </w:rPr>
      </w:pPr>
      <w:r>
        <w:rPr>
          <w:rFonts w:hint="eastAsia"/>
          <w:sz w:val="24"/>
          <w:szCs w:val="24"/>
          <w:lang w:val="en-US" w:eastAsia="zh-CN"/>
        </w:rPr>
        <w:t>3、供方提供的检测设备及其附件（计量器具）必须经过市级及以上国家法定计量检定部门检定/校准，并出具检定/校准证书，所需费用由供方承担。</w:t>
      </w:r>
    </w:p>
    <w:p w14:paraId="5C49EA5A">
      <w:pPr>
        <w:rPr>
          <w:sz w:val="24"/>
          <w:szCs w:val="24"/>
        </w:rPr>
      </w:pPr>
      <w:r>
        <w:rPr>
          <w:rFonts w:hint="eastAsia"/>
          <w:sz w:val="24"/>
          <w:szCs w:val="24"/>
          <w:lang w:val="en-US" w:eastAsia="zh-CN"/>
        </w:rPr>
        <w:t>4</w:t>
      </w:r>
      <w:r>
        <w:rPr>
          <w:sz w:val="24"/>
          <w:szCs w:val="24"/>
        </w:rPr>
        <w:t>、本章节条款所列“免费”，并非指定不可收费，而是指招标档、投标档、答疑档、技术交流档、技术协议书和合同等范围之外，投标方不可另行收取的费用。</w:t>
      </w:r>
    </w:p>
    <w:p w14:paraId="3C9AB03C">
      <w:pPr>
        <w:rPr>
          <w:sz w:val="24"/>
          <w:szCs w:val="24"/>
        </w:rPr>
      </w:pPr>
      <w:r>
        <w:rPr>
          <w:sz w:val="24"/>
          <w:szCs w:val="24"/>
        </w:rPr>
        <w:t>第</w:t>
      </w:r>
      <w:r>
        <w:rPr>
          <w:rFonts w:hint="eastAsia"/>
          <w:sz w:val="24"/>
          <w:szCs w:val="24"/>
        </w:rPr>
        <w:t>五</w:t>
      </w:r>
      <w:r>
        <w:rPr>
          <w:sz w:val="24"/>
          <w:szCs w:val="24"/>
        </w:rPr>
        <w:t>章  预验收和终验收</w:t>
      </w:r>
      <w:bookmarkStart w:id="6" w:name="_GoBack"/>
      <w:bookmarkEnd w:id="6"/>
    </w:p>
    <w:p w14:paraId="030B0B7D">
      <w:pPr>
        <w:rPr>
          <w:sz w:val="24"/>
          <w:szCs w:val="24"/>
        </w:rPr>
      </w:pPr>
      <w:r>
        <w:rPr>
          <w:rFonts w:hint="eastAsia"/>
          <w:sz w:val="24"/>
          <w:szCs w:val="24"/>
        </w:rPr>
        <w:t>一、验收依据和验收标准</w:t>
      </w:r>
    </w:p>
    <w:p w14:paraId="09534549">
      <w:pPr>
        <w:rPr>
          <w:sz w:val="24"/>
          <w:szCs w:val="24"/>
        </w:rPr>
      </w:pPr>
      <w:r>
        <w:rPr>
          <w:sz w:val="24"/>
          <w:szCs w:val="24"/>
        </w:rPr>
        <w:t>1、验收标准一般以技术协议书和合同规定验收。无论技术协议书和合同，是否全部并准确列明验收所涉及的相关标准，均作为验收标准之一。</w:t>
      </w:r>
    </w:p>
    <w:p w14:paraId="465A9819">
      <w:pPr>
        <w:rPr>
          <w:sz w:val="24"/>
          <w:szCs w:val="24"/>
        </w:rPr>
      </w:pPr>
      <w:r>
        <w:rPr>
          <w:sz w:val="24"/>
          <w:szCs w:val="24"/>
        </w:rPr>
        <w:t>2、如果验收过程中，发现招标档、投标档、答疑档、技术交流档等与技术协议书、合同存在差异，原则上以涉及条款中对买方最有利条款为验收依据。</w:t>
      </w:r>
    </w:p>
    <w:p w14:paraId="0534C643">
      <w:pPr>
        <w:rPr>
          <w:sz w:val="24"/>
          <w:szCs w:val="24"/>
        </w:rPr>
      </w:pPr>
      <w:r>
        <w:rPr>
          <w:rFonts w:hint="eastAsia"/>
          <w:sz w:val="24"/>
          <w:szCs w:val="24"/>
        </w:rPr>
        <w:t>二、检验</w:t>
      </w:r>
    </w:p>
    <w:p w14:paraId="6CF9AD54">
      <w:pPr>
        <w:rPr>
          <w:sz w:val="24"/>
          <w:szCs w:val="24"/>
        </w:rPr>
      </w:pPr>
      <w:r>
        <w:rPr>
          <w:sz w:val="24"/>
          <w:szCs w:val="24"/>
        </w:rPr>
        <w:t>如果采购货物涉及必要的或必需的检验，投标方应当在投标档中明确可能涉及的检验费用，并将该费用包含在投标总报价之内；不作针对性澄清或说明的，视同包含在投标总价之内。基本约定如下：</w:t>
      </w:r>
    </w:p>
    <w:p w14:paraId="29E7427F">
      <w:pPr>
        <w:rPr>
          <w:sz w:val="24"/>
          <w:szCs w:val="24"/>
        </w:rPr>
      </w:pPr>
      <w:r>
        <w:rPr>
          <w:sz w:val="24"/>
          <w:szCs w:val="24"/>
        </w:rPr>
        <w:t>1、国产货物的检验一般由买卖双方共同进行或按照合同要求进行。</w:t>
      </w:r>
    </w:p>
    <w:p w14:paraId="3311E13D">
      <w:pPr>
        <w:rPr>
          <w:sz w:val="24"/>
          <w:szCs w:val="24"/>
        </w:rPr>
      </w:pPr>
      <w:r>
        <w:rPr>
          <w:sz w:val="24"/>
          <w:szCs w:val="24"/>
        </w:rPr>
        <w:t>2、进口货物的检验，卖方需要按照下述要求进行：</w:t>
      </w:r>
    </w:p>
    <w:p w14:paraId="17940269">
      <w:pPr>
        <w:rPr>
          <w:sz w:val="24"/>
          <w:szCs w:val="24"/>
        </w:rPr>
      </w:pPr>
      <w:r>
        <w:rPr>
          <w:sz w:val="24"/>
          <w:szCs w:val="24"/>
        </w:rPr>
        <w:t>2.1  进口货物发货前，应对货物的质量、型号、规格、性能和数量/重量作精密、全面的检验，并出具证明书，证明所供货物符合合同规定。</w:t>
      </w:r>
    </w:p>
    <w:p w14:paraId="14695BAA">
      <w:pPr>
        <w:rPr>
          <w:sz w:val="24"/>
          <w:szCs w:val="24"/>
        </w:rPr>
      </w:pPr>
      <w:r>
        <w:rPr>
          <w:sz w:val="24"/>
          <w:szCs w:val="24"/>
        </w:rPr>
        <w:t>2.2  应依据合同规定的要求，提供买卖双方达成一致的货物的验收标准和装箱单，作为买方检验的依据。</w:t>
      </w:r>
    </w:p>
    <w:p w14:paraId="40402388">
      <w:pPr>
        <w:rPr>
          <w:sz w:val="24"/>
          <w:szCs w:val="24"/>
        </w:rPr>
      </w:pPr>
      <w:r>
        <w:rPr>
          <w:sz w:val="24"/>
          <w:szCs w:val="24"/>
        </w:rPr>
        <w:t>2.3  进口货物到达目的地后，买方有权申请中国商品检验检疫局进行检验，如发现货物的质量及规格与合同或发票不符，除买方的责任外，买方有权在货物到达卸货目的地后180个日历日内，根据中国商品检验检疫局出具的证明书向卖方提出索赔，因索赔所发生的一切费用(包括检验检疫费等)均由卖方承担。</w:t>
      </w:r>
    </w:p>
    <w:p w14:paraId="3ABD6164">
      <w:pPr>
        <w:rPr>
          <w:sz w:val="24"/>
          <w:szCs w:val="24"/>
        </w:rPr>
      </w:pPr>
      <w:r>
        <w:rPr>
          <w:rFonts w:hint="eastAsia"/>
          <w:sz w:val="24"/>
          <w:szCs w:val="24"/>
        </w:rPr>
        <w:t>三、验收基本条件</w:t>
      </w:r>
    </w:p>
    <w:p w14:paraId="25F113C9">
      <w:pPr>
        <w:rPr>
          <w:sz w:val="24"/>
          <w:szCs w:val="24"/>
        </w:rPr>
      </w:pPr>
      <w:r>
        <w:rPr>
          <w:rFonts w:hint="eastAsia"/>
          <w:sz w:val="24"/>
          <w:szCs w:val="24"/>
        </w:rPr>
        <w:t>验收一般分预验收和终验收两部分。预验收一般在卖方现场进行，终验收在安装调试完成及试运行后的买方现场进行。但是所有的项目，包括不能预验收的项目和预验收通过的项目都在终验收时重新检验，最终只以终验收为准。</w:t>
      </w:r>
    </w:p>
    <w:p w14:paraId="7389F506">
      <w:pPr>
        <w:rPr>
          <w:sz w:val="24"/>
          <w:szCs w:val="24"/>
        </w:rPr>
      </w:pPr>
      <w:r>
        <w:rPr>
          <w:rFonts w:hint="eastAsia"/>
          <w:sz w:val="24"/>
          <w:szCs w:val="24"/>
        </w:rPr>
        <w:t>买卖双方按照合同约定执行了合同，同时货物完成了试运行并经检验合格，则具备验收条件。</w:t>
      </w:r>
    </w:p>
    <w:p w14:paraId="22B3748C">
      <w:pPr>
        <w:rPr>
          <w:sz w:val="24"/>
          <w:szCs w:val="24"/>
        </w:rPr>
      </w:pPr>
      <w:r>
        <w:rPr>
          <w:rFonts w:hint="eastAsia"/>
          <w:sz w:val="24"/>
          <w:szCs w:val="24"/>
        </w:rPr>
        <w:t>1、预验收一般条件</w:t>
      </w:r>
    </w:p>
    <w:p w14:paraId="42CF94E5">
      <w:pPr>
        <w:rPr>
          <w:sz w:val="24"/>
          <w:szCs w:val="24"/>
        </w:rPr>
      </w:pPr>
      <w:r>
        <w:rPr>
          <w:rFonts w:hint="eastAsia"/>
          <w:sz w:val="24"/>
          <w:szCs w:val="24"/>
        </w:rPr>
        <w:t>1.1  卖方已经按照“供货范围”要求提供了预验收资料，并且资料齐全、完整和有效。</w:t>
      </w:r>
    </w:p>
    <w:p w14:paraId="65AD7F9D">
      <w:pPr>
        <w:rPr>
          <w:sz w:val="24"/>
          <w:szCs w:val="24"/>
        </w:rPr>
      </w:pPr>
      <w:r>
        <w:rPr>
          <w:rFonts w:hint="eastAsia"/>
          <w:sz w:val="24"/>
          <w:szCs w:val="24"/>
        </w:rPr>
        <w:t>1.</w:t>
      </w:r>
      <w:r>
        <w:rPr>
          <w:sz w:val="24"/>
          <w:szCs w:val="24"/>
        </w:rPr>
        <w:t>2</w:t>
      </w:r>
      <w:r>
        <w:rPr>
          <w:rFonts w:hint="eastAsia"/>
          <w:sz w:val="24"/>
          <w:szCs w:val="24"/>
        </w:rPr>
        <w:t xml:space="preserve">  货物应完整且所有的零部件应该安装牢固，外观无损伤，所有的焊缝饱满、无残渣等缺陷。</w:t>
      </w:r>
    </w:p>
    <w:p w14:paraId="4B95D5F1">
      <w:pPr>
        <w:rPr>
          <w:sz w:val="24"/>
          <w:szCs w:val="24"/>
        </w:rPr>
      </w:pPr>
      <w:r>
        <w:rPr>
          <w:rFonts w:hint="eastAsia"/>
          <w:sz w:val="24"/>
          <w:szCs w:val="24"/>
        </w:rPr>
        <w:t>1.</w:t>
      </w:r>
      <w:r>
        <w:rPr>
          <w:sz w:val="24"/>
          <w:szCs w:val="24"/>
        </w:rPr>
        <w:t>3</w:t>
      </w:r>
      <w:r>
        <w:rPr>
          <w:rFonts w:hint="eastAsia"/>
          <w:sz w:val="24"/>
          <w:szCs w:val="24"/>
        </w:rPr>
        <w:t xml:space="preserve">  一般情况下，所有的管路和线缆等，接头应完全正确、可靠地联接；应排列有序（正确、牢固、整齐），有必要的防护，无皱褶、收缩和裂缝等不良现象。</w:t>
      </w:r>
    </w:p>
    <w:p w14:paraId="0B30665D">
      <w:pPr>
        <w:rPr>
          <w:sz w:val="24"/>
          <w:szCs w:val="24"/>
        </w:rPr>
      </w:pPr>
      <w:r>
        <w:rPr>
          <w:rFonts w:hint="eastAsia"/>
          <w:sz w:val="24"/>
          <w:szCs w:val="24"/>
        </w:rPr>
        <w:t>1.4  使用的压力容器、电气等应具备合格证（如果有压力容器）。</w:t>
      </w:r>
    </w:p>
    <w:p w14:paraId="668A53DC">
      <w:pPr>
        <w:rPr>
          <w:sz w:val="24"/>
          <w:szCs w:val="24"/>
        </w:rPr>
      </w:pPr>
      <w:r>
        <w:rPr>
          <w:rFonts w:hint="eastAsia"/>
          <w:sz w:val="24"/>
          <w:szCs w:val="24"/>
        </w:rPr>
        <w:t>1.5  货物的油漆质量应饱满、有光泽，无掉漆、无色差、无“桔皮”等不良现象（特殊标志除外）。</w:t>
      </w:r>
    </w:p>
    <w:p w14:paraId="6AAA442F">
      <w:pPr>
        <w:rPr>
          <w:sz w:val="24"/>
          <w:szCs w:val="24"/>
        </w:rPr>
      </w:pPr>
      <w:r>
        <w:rPr>
          <w:rFonts w:hint="eastAsia"/>
          <w:sz w:val="24"/>
          <w:szCs w:val="24"/>
        </w:rPr>
        <w:t>1.6  货物标牌完整、清晰、明确。</w:t>
      </w:r>
    </w:p>
    <w:p w14:paraId="36BDCF48">
      <w:pPr>
        <w:rPr>
          <w:sz w:val="24"/>
          <w:szCs w:val="24"/>
        </w:rPr>
      </w:pPr>
      <w:r>
        <w:rPr>
          <w:rFonts w:hint="eastAsia"/>
          <w:sz w:val="24"/>
          <w:szCs w:val="24"/>
        </w:rPr>
        <w:t>1.7  货物的安全要求符合中国最新的相关法律、法规、标准和规范以及合同要求。</w:t>
      </w:r>
    </w:p>
    <w:p w14:paraId="0FF03CD1">
      <w:pPr>
        <w:rPr>
          <w:sz w:val="24"/>
          <w:szCs w:val="24"/>
        </w:rPr>
      </w:pPr>
      <w:r>
        <w:rPr>
          <w:rFonts w:hint="eastAsia"/>
          <w:sz w:val="24"/>
          <w:szCs w:val="24"/>
        </w:rPr>
        <w:t>1.8  设备（或材料）应运行灵活、稳定、可靠、安全，无异常声音和非正常振动，设备不允许出现漏水、漏液、漏气（汽）、漏电。</w:t>
      </w:r>
    </w:p>
    <w:p w14:paraId="5D7635FF">
      <w:pPr>
        <w:rPr>
          <w:sz w:val="24"/>
          <w:szCs w:val="24"/>
        </w:rPr>
      </w:pPr>
      <w:r>
        <w:rPr>
          <w:rFonts w:hint="eastAsia"/>
          <w:sz w:val="24"/>
          <w:szCs w:val="24"/>
        </w:rPr>
        <w:t>2、预验收基本要求</w:t>
      </w:r>
    </w:p>
    <w:p w14:paraId="4C8EC249">
      <w:pPr>
        <w:rPr>
          <w:sz w:val="24"/>
          <w:szCs w:val="24"/>
        </w:rPr>
      </w:pPr>
      <w:r>
        <w:rPr>
          <w:rFonts w:hint="eastAsia"/>
          <w:sz w:val="24"/>
          <w:szCs w:val="24"/>
        </w:rPr>
        <w:t>2.1  设备构成、备件齐全</w:t>
      </w:r>
    </w:p>
    <w:p w14:paraId="19DDD2D2">
      <w:pPr>
        <w:rPr>
          <w:sz w:val="24"/>
          <w:szCs w:val="24"/>
        </w:rPr>
      </w:pPr>
      <w:r>
        <w:rPr>
          <w:rFonts w:hint="eastAsia"/>
          <w:sz w:val="24"/>
          <w:szCs w:val="24"/>
        </w:rPr>
        <w:t>2.2  设备技术原理符合标书要求</w:t>
      </w:r>
    </w:p>
    <w:p w14:paraId="39AC8831">
      <w:pPr>
        <w:rPr>
          <w:sz w:val="24"/>
          <w:szCs w:val="24"/>
        </w:rPr>
      </w:pPr>
      <w:r>
        <w:rPr>
          <w:rFonts w:hint="eastAsia"/>
          <w:sz w:val="24"/>
          <w:szCs w:val="24"/>
        </w:rPr>
        <w:t>2.3  预验收原则上要求一次完成。若一次验收不成功，最多允许两次；如果出现第三次验收失败，重新作价或退货；</w:t>
      </w:r>
    </w:p>
    <w:p w14:paraId="22D73013">
      <w:pPr>
        <w:rPr>
          <w:sz w:val="24"/>
          <w:szCs w:val="24"/>
        </w:rPr>
      </w:pPr>
      <w:r>
        <w:rPr>
          <w:rFonts w:hint="eastAsia"/>
          <w:sz w:val="24"/>
          <w:szCs w:val="24"/>
        </w:rPr>
        <w:t>3、终验收一般条件</w:t>
      </w:r>
    </w:p>
    <w:p w14:paraId="46DF0AD4">
      <w:pPr>
        <w:rPr>
          <w:sz w:val="24"/>
          <w:szCs w:val="24"/>
        </w:rPr>
      </w:pPr>
      <w:r>
        <w:rPr>
          <w:rFonts w:hint="eastAsia"/>
          <w:sz w:val="24"/>
          <w:szCs w:val="24"/>
        </w:rPr>
        <w:t>（1）依据招标档、投标档、答疑档、技术交流档等形成并达成一致的技术协议书和合同规定的终验收条件验收。</w:t>
      </w:r>
    </w:p>
    <w:p w14:paraId="1CC13E63">
      <w:pPr>
        <w:rPr>
          <w:sz w:val="24"/>
          <w:szCs w:val="24"/>
        </w:rPr>
      </w:pPr>
      <w:r>
        <w:rPr>
          <w:rFonts w:hint="eastAsia"/>
          <w:sz w:val="24"/>
          <w:szCs w:val="24"/>
        </w:rPr>
        <w:t>（2）出现下列问题之一，视作验收失败：</w:t>
      </w:r>
    </w:p>
    <w:p w14:paraId="535E6647">
      <w:pPr>
        <w:rPr>
          <w:sz w:val="24"/>
          <w:szCs w:val="24"/>
        </w:rPr>
      </w:pPr>
      <w:r>
        <w:rPr>
          <w:rFonts w:hint="eastAsia"/>
          <w:sz w:val="24"/>
          <w:szCs w:val="24"/>
        </w:rPr>
        <w:t>3.2.1 设备验收时，其参数无法满足招标书中的技术要求。</w:t>
      </w:r>
    </w:p>
    <w:p w14:paraId="4322ACDB">
      <w:pPr>
        <w:rPr>
          <w:sz w:val="24"/>
          <w:szCs w:val="24"/>
        </w:rPr>
      </w:pPr>
      <w:r>
        <w:rPr>
          <w:rFonts w:hint="eastAsia"/>
          <w:sz w:val="24"/>
          <w:szCs w:val="24"/>
        </w:rPr>
        <w:t>3.2.2 在整个验收过程中发生关键零部件损坏或重大故障；</w:t>
      </w:r>
    </w:p>
    <w:p w14:paraId="4A7070B5">
      <w:pPr>
        <w:rPr>
          <w:sz w:val="24"/>
          <w:szCs w:val="24"/>
        </w:rPr>
      </w:pPr>
      <w:r>
        <w:rPr>
          <w:rFonts w:hint="eastAsia"/>
          <w:sz w:val="24"/>
          <w:szCs w:val="24"/>
        </w:rPr>
        <w:t>3.2.3 更换的零部件货值超过总货值的1%。</w:t>
      </w:r>
    </w:p>
    <w:p w14:paraId="4847C244">
      <w:pPr>
        <w:rPr>
          <w:sz w:val="24"/>
          <w:szCs w:val="24"/>
        </w:rPr>
      </w:pPr>
      <w:r>
        <w:rPr>
          <w:rFonts w:hint="eastAsia"/>
          <w:sz w:val="24"/>
          <w:szCs w:val="24"/>
        </w:rPr>
        <w:t>3.3 累计负载运行实际性能（或生产率）达不到合同规定；</w:t>
      </w:r>
    </w:p>
    <w:p w14:paraId="759D98EA">
      <w:pPr>
        <w:rPr>
          <w:sz w:val="24"/>
          <w:szCs w:val="24"/>
        </w:rPr>
      </w:pPr>
      <w:r>
        <w:rPr>
          <w:rFonts w:hint="eastAsia"/>
          <w:sz w:val="24"/>
          <w:szCs w:val="24"/>
        </w:rPr>
        <w:t>3.4 终验收原则上要求一次完成。若一次验收不成功，最多允许两次；如果出现第三次验收失败，重新作价或退货；</w:t>
      </w:r>
    </w:p>
    <w:p w14:paraId="14D17083">
      <w:pPr>
        <w:rPr>
          <w:sz w:val="24"/>
          <w:szCs w:val="24"/>
        </w:rPr>
      </w:pPr>
      <w:r>
        <w:rPr>
          <w:rFonts w:hint="eastAsia"/>
          <w:sz w:val="24"/>
          <w:szCs w:val="24"/>
        </w:rPr>
        <w:t>3.5 终验收通过后买卖双方共同签署终验收报告，并移交、核对全部供货范围内物品。</w:t>
      </w:r>
    </w:p>
    <w:p w14:paraId="1FE716EC">
      <w:pPr>
        <w:rPr>
          <w:sz w:val="24"/>
          <w:szCs w:val="24"/>
        </w:rPr>
      </w:pPr>
      <w:r>
        <w:rPr>
          <w:rFonts w:hint="eastAsia"/>
          <w:sz w:val="24"/>
          <w:szCs w:val="24"/>
        </w:rPr>
        <w:t>3</w:t>
      </w:r>
      <w:r>
        <w:rPr>
          <w:sz w:val="24"/>
          <w:szCs w:val="24"/>
        </w:rPr>
        <w:t>.6</w:t>
      </w:r>
      <w:r>
        <w:rPr>
          <w:rFonts w:hint="eastAsia"/>
          <w:sz w:val="24"/>
          <w:szCs w:val="24"/>
        </w:rPr>
        <w:t>设备主要备件验收核查清单</w:t>
      </w:r>
    </w:p>
    <w:tbl>
      <w:tblPr>
        <w:tblStyle w:val="39"/>
        <w:tblW w:w="10020" w:type="dxa"/>
        <w:tblInd w:w="0" w:type="dxa"/>
        <w:tblLayout w:type="autofit"/>
        <w:tblCellMar>
          <w:top w:w="0" w:type="dxa"/>
          <w:left w:w="108" w:type="dxa"/>
          <w:bottom w:w="0" w:type="dxa"/>
          <w:right w:w="108" w:type="dxa"/>
        </w:tblCellMar>
      </w:tblPr>
      <w:tblGrid>
        <w:gridCol w:w="700"/>
        <w:gridCol w:w="2340"/>
        <w:gridCol w:w="3300"/>
        <w:gridCol w:w="800"/>
        <w:gridCol w:w="800"/>
        <w:gridCol w:w="2080"/>
      </w:tblGrid>
      <w:tr w14:paraId="648CB046">
        <w:tblPrEx>
          <w:tblCellMar>
            <w:top w:w="0" w:type="dxa"/>
            <w:left w:w="108" w:type="dxa"/>
            <w:bottom w:w="0" w:type="dxa"/>
            <w:right w:w="108" w:type="dxa"/>
          </w:tblCellMar>
        </w:tblPrEx>
        <w:trPr>
          <w:trHeight w:val="31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95301C5">
            <w:pPr>
              <w:widowControl/>
              <w:suppressAutoHyphens w:val="0"/>
              <w:overflowPun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340" w:type="dxa"/>
            <w:tcBorders>
              <w:top w:val="single" w:color="auto" w:sz="4" w:space="0"/>
              <w:left w:val="nil"/>
              <w:bottom w:val="single" w:color="auto" w:sz="4" w:space="0"/>
              <w:right w:val="single" w:color="auto" w:sz="4" w:space="0"/>
            </w:tcBorders>
            <w:shd w:val="clear" w:color="auto" w:fill="auto"/>
            <w:vAlign w:val="center"/>
          </w:tcPr>
          <w:p w14:paraId="5FE0BC86">
            <w:pPr>
              <w:widowControl/>
              <w:suppressAutoHyphens w:val="0"/>
              <w:overflowPunct/>
              <w:jc w:val="center"/>
              <w:rPr>
                <w:rFonts w:hint="eastAsia" w:ascii="等线" w:hAnsi="等线" w:eastAsia="等线" w:cs="宋体"/>
                <w:kern w:val="0"/>
                <w:sz w:val="24"/>
                <w:szCs w:val="24"/>
              </w:rPr>
            </w:pPr>
            <w:r>
              <w:rPr>
                <w:rFonts w:hint="eastAsia" w:ascii="等线" w:hAnsi="等线" w:eastAsia="等线" w:cs="宋体"/>
                <w:kern w:val="0"/>
                <w:sz w:val="24"/>
                <w:szCs w:val="24"/>
              </w:rPr>
              <w:t>名称</w:t>
            </w:r>
          </w:p>
        </w:tc>
        <w:tc>
          <w:tcPr>
            <w:tcW w:w="3300" w:type="dxa"/>
            <w:tcBorders>
              <w:top w:val="single" w:color="auto" w:sz="4" w:space="0"/>
              <w:left w:val="nil"/>
              <w:bottom w:val="single" w:color="auto" w:sz="4" w:space="0"/>
              <w:right w:val="single" w:color="auto" w:sz="4" w:space="0"/>
            </w:tcBorders>
            <w:shd w:val="clear" w:color="auto" w:fill="auto"/>
            <w:vAlign w:val="center"/>
          </w:tcPr>
          <w:p w14:paraId="6910CE6E">
            <w:pPr>
              <w:widowControl/>
              <w:suppressAutoHyphens w:val="0"/>
              <w:overflowPunct/>
              <w:jc w:val="center"/>
              <w:rPr>
                <w:rFonts w:hint="eastAsia" w:ascii="等线" w:hAnsi="等线" w:eastAsia="等线" w:cs="宋体"/>
                <w:kern w:val="0"/>
                <w:sz w:val="24"/>
                <w:szCs w:val="24"/>
              </w:rPr>
            </w:pPr>
            <w:r>
              <w:rPr>
                <w:rFonts w:hint="eastAsia" w:ascii="等线" w:hAnsi="等线" w:eastAsia="等线" w:cs="宋体"/>
                <w:kern w:val="0"/>
                <w:sz w:val="24"/>
                <w:szCs w:val="24"/>
              </w:rPr>
              <w:t>主要参数</w:t>
            </w:r>
          </w:p>
        </w:tc>
        <w:tc>
          <w:tcPr>
            <w:tcW w:w="800" w:type="dxa"/>
            <w:tcBorders>
              <w:top w:val="single" w:color="auto" w:sz="4" w:space="0"/>
              <w:left w:val="nil"/>
              <w:bottom w:val="single" w:color="auto" w:sz="4" w:space="0"/>
              <w:right w:val="single" w:color="auto" w:sz="4" w:space="0"/>
            </w:tcBorders>
            <w:shd w:val="clear" w:color="auto" w:fill="auto"/>
            <w:vAlign w:val="center"/>
          </w:tcPr>
          <w:p w14:paraId="77532349">
            <w:pPr>
              <w:widowControl/>
              <w:suppressAutoHyphens w:val="0"/>
              <w:overflowPunct/>
              <w:jc w:val="center"/>
              <w:rPr>
                <w:rFonts w:hint="eastAsia" w:ascii="等线" w:hAnsi="等线" w:eastAsia="等线" w:cs="宋体"/>
                <w:kern w:val="0"/>
                <w:sz w:val="24"/>
                <w:szCs w:val="24"/>
              </w:rPr>
            </w:pPr>
            <w:r>
              <w:rPr>
                <w:rFonts w:hint="eastAsia" w:ascii="等线" w:hAnsi="等线" w:eastAsia="等线" w:cs="宋体"/>
                <w:kern w:val="0"/>
                <w:sz w:val="24"/>
                <w:szCs w:val="24"/>
              </w:rPr>
              <w:t>单位</w:t>
            </w:r>
          </w:p>
        </w:tc>
        <w:tc>
          <w:tcPr>
            <w:tcW w:w="800" w:type="dxa"/>
            <w:tcBorders>
              <w:top w:val="single" w:color="auto" w:sz="4" w:space="0"/>
              <w:left w:val="nil"/>
              <w:bottom w:val="single" w:color="auto" w:sz="4" w:space="0"/>
              <w:right w:val="single" w:color="auto" w:sz="4" w:space="0"/>
            </w:tcBorders>
            <w:shd w:val="clear" w:color="auto" w:fill="auto"/>
            <w:vAlign w:val="center"/>
          </w:tcPr>
          <w:p w14:paraId="09C7D03C">
            <w:pPr>
              <w:widowControl/>
              <w:suppressAutoHyphens w:val="0"/>
              <w:overflowPunct/>
              <w:jc w:val="center"/>
              <w:rPr>
                <w:rFonts w:hint="eastAsia" w:ascii="等线" w:hAnsi="等线" w:eastAsia="等线" w:cs="宋体"/>
                <w:kern w:val="0"/>
                <w:sz w:val="24"/>
                <w:szCs w:val="24"/>
              </w:rPr>
            </w:pPr>
            <w:r>
              <w:rPr>
                <w:rFonts w:hint="eastAsia" w:ascii="等线" w:hAnsi="等线" w:eastAsia="等线" w:cs="宋体"/>
                <w:kern w:val="0"/>
                <w:sz w:val="24"/>
                <w:szCs w:val="24"/>
              </w:rPr>
              <w:t>数量</w:t>
            </w:r>
          </w:p>
        </w:tc>
        <w:tc>
          <w:tcPr>
            <w:tcW w:w="2080" w:type="dxa"/>
            <w:tcBorders>
              <w:top w:val="single" w:color="auto" w:sz="4" w:space="0"/>
              <w:left w:val="nil"/>
              <w:bottom w:val="single" w:color="auto" w:sz="4" w:space="0"/>
              <w:right w:val="single" w:color="auto" w:sz="4" w:space="0"/>
            </w:tcBorders>
            <w:shd w:val="clear" w:color="auto" w:fill="auto"/>
            <w:vAlign w:val="center"/>
          </w:tcPr>
          <w:p w14:paraId="6BBD598B">
            <w:pPr>
              <w:widowControl/>
              <w:suppressAutoHyphens w:val="0"/>
              <w:overflowPunct/>
              <w:jc w:val="center"/>
              <w:rPr>
                <w:rFonts w:hint="eastAsia" w:ascii="等线" w:hAnsi="等线" w:eastAsia="等线" w:cs="宋体"/>
                <w:kern w:val="0"/>
                <w:sz w:val="24"/>
                <w:szCs w:val="24"/>
              </w:rPr>
            </w:pPr>
            <w:r>
              <w:rPr>
                <w:rFonts w:hint="eastAsia" w:ascii="等线" w:hAnsi="等线" w:eastAsia="等线" w:cs="宋体"/>
                <w:kern w:val="0"/>
                <w:sz w:val="24"/>
                <w:szCs w:val="24"/>
              </w:rPr>
              <w:t>备注</w:t>
            </w:r>
          </w:p>
        </w:tc>
      </w:tr>
      <w:tr w14:paraId="02DF80F7">
        <w:tblPrEx>
          <w:tblCellMar>
            <w:top w:w="0" w:type="dxa"/>
            <w:left w:w="108" w:type="dxa"/>
            <w:bottom w:w="0" w:type="dxa"/>
            <w:right w:w="108" w:type="dxa"/>
          </w:tblCellMar>
        </w:tblPrEx>
        <w:trPr>
          <w:trHeight w:val="31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4A79BDCF">
            <w:pPr>
              <w:widowControl/>
              <w:suppressAutoHyphens w:val="0"/>
              <w:overflowPunct/>
              <w:jc w:val="center"/>
              <w:rPr>
                <w:rFonts w:hint="eastAsia"/>
                <w:sz w:val="24"/>
                <w:szCs w:val="24"/>
              </w:rPr>
            </w:pPr>
            <w:r>
              <w:rPr>
                <w:rFonts w:hint="eastAsia"/>
                <w:sz w:val="24"/>
                <w:szCs w:val="24"/>
              </w:rPr>
              <w:t>1</w:t>
            </w:r>
          </w:p>
        </w:tc>
        <w:tc>
          <w:tcPr>
            <w:tcW w:w="2340" w:type="dxa"/>
            <w:tcBorders>
              <w:top w:val="nil"/>
              <w:left w:val="nil"/>
              <w:bottom w:val="single" w:color="auto" w:sz="4" w:space="0"/>
              <w:right w:val="single" w:color="auto" w:sz="4" w:space="0"/>
            </w:tcBorders>
            <w:shd w:val="clear" w:color="auto" w:fill="auto"/>
            <w:vAlign w:val="center"/>
          </w:tcPr>
          <w:p w14:paraId="14BA388B">
            <w:pPr>
              <w:widowControl/>
              <w:suppressAutoHyphens w:val="0"/>
              <w:overflowPunct/>
              <w:jc w:val="center"/>
              <w:rPr>
                <w:rFonts w:hint="eastAsia"/>
                <w:sz w:val="24"/>
                <w:szCs w:val="24"/>
              </w:rPr>
            </w:pPr>
            <w:r>
              <w:rPr>
                <w:rFonts w:hint="eastAsia"/>
                <w:sz w:val="24"/>
                <w:szCs w:val="24"/>
              </w:rPr>
              <w:t>压缩机</w:t>
            </w:r>
          </w:p>
        </w:tc>
        <w:tc>
          <w:tcPr>
            <w:tcW w:w="3300" w:type="dxa"/>
            <w:tcBorders>
              <w:top w:val="nil"/>
              <w:left w:val="nil"/>
              <w:bottom w:val="single" w:color="auto" w:sz="4" w:space="0"/>
              <w:right w:val="single" w:color="auto" w:sz="4" w:space="0"/>
            </w:tcBorders>
            <w:shd w:val="clear" w:color="auto" w:fill="auto"/>
            <w:vAlign w:val="center"/>
          </w:tcPr>
          <w:p w14:paraId="27AC13A8">
            <w:pPr>
              <w:widowControl/>
              <w:suppressAutoHyphens w:val="0"/>
              <w:overflowPunct/>
              <w:jc w:val="center"/>
              <w:rPr>
                <w:rFonts w:hint="eastAsia"/>
                <w:sz w:val="24"/>
                <w:szCs w:val="24"/>
              </w:rPr>
            </w:pPr>
            <w:r>
              <w:rPr>
                <w:rFonts w:hint="eastAsia"/>
                <w:sz w:val="24"/>
                <w:szCs w:val="24"/>
              </w:rPr>
              <w:t>≥6匹</w:t>
            </w:r>
          </w:p>
        </w:tc>
        <w:tc>
          <w:tcPr>
            <w:tcW w:w="800" w:type="dxa"/>
            <w:tcBorders>
              <w:top w:val="nil"/>
              <w:left w:val="nil"/>
              <w:bottom w:val="single" w:color="auto" w:sz="4" w:space="0"/>
              <w:right w:val="single" w:color="auto" w:sz="4" w:space="0"/>
            </w:tcBorders>
            <w:shd w:val="clear" w:color="auto" w:fill="auto"/>
            <w:vAlign w:val="center"/>
          </w:tcPr>
          <w:p w14:paraId="16FDBF5F">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61362BB6">
            <w:pPr>
              <w:widowControl/>
              <w:suppressAutoHyphens w:val="0"/>
              <w:overflowPunct/>
              <w:jc w:val="center"/>
              <w:rPr>
                <w:rFonts w:hint="eastAsia"/>
                <w:sz w:val="24"/>
                <w:szCs w:val="24"/>
              </w:rPr>
            </w:pPr>
            <w:r>
              <w:rPr>
                <w:sz w:val="24"/>
                <w:szCs w:val="24"/>
              </w:rPr>
              <w:t>2</w:t>
            </w:r>
          </w:p>
        </w:tc>
        <w:tc>
          <w:tcPr>
            <w:tcW w:w="2080" w:type="dxa"/>
            <w:tcBorders>
              <w:top w:val="nil"/>
              <w:left w:val="nil"/>
              <w:bottom w:val="single" w:color="auto" w:sz="4" w:space="0"/>
              <w:right w:val="single" w:color="auto" w:sz="4" w:space="0"/>
            </w:tcBorders>
            <w:shd w:val="clear" w:color="auto" w:fill="auto"/>
            <w:vAlign w:val="center"/>
          </w:tcPr>
          <w:p w14:paraId="7A9F818D">
            <w:pPr>
              <w:widowControl/>
              <w:suppressAutoHyphens w:val="0"/>
              <w:overflowPunct/>
              <w:jc w:val="center"/>
              <w:rPr>
                <w:rFonts w:hint="eastAsia"/>
                <w:sz w:val="24"/>
                <w:szCs w:val="24"/>
              </w:rPr>
            </w:pPr>
            <w:r>
              <w:rPr>
                <w:rFonts w:hint="eastAsia"/>
                <w:sz w:val="24"/>
                <w:szCs w:val="24"/>
              </w:rPr>
              <w:t>　</w:t>
            </w:r>
          </w:p>
        </w:tc>
      </w:tr>
      <w:tr w14:paraId="26B9B454">
        <w:tblPrEx>
          <w:tblCellMar>
            <w:top w:w="0" w:type="dxa"/>
            <w:left w:w="108" w:type="dxa"/>
            <w:bottom w:w="0" w:type="dxa"/>
            <w:right w:w="108" w:type="dxa"/>
          </w:tblCellMar>
        </w:tblPrEx>
        <w:trPr>
          <w:trHeight w:val="31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136389B6">
            <w:pPr>
              <w:widowControl/>
              <w:suppressAutoHyphens w:val="0"/>
              <w:overflowPunct/>
              <w:jc w:val="center"/>
              <w:rPr>
                <w:rFonts w:hint="eastAsia"/>
                <w:sz w:val="24"/>
                <w:szCs w:val="24"/>
              </w:rPr>
            </w:pPr>
            <w:r>
              <w:rPr>
                <w:rFonts w:hint="eastAsia"/>
                <w:sz w:val="24"/>
                <w:szCs w:val="24"/>
              </w:rPr>
              <w:t>2</w:t>
            </w:r>
          </w:p>
        </w:tc>
        <w:tc>
          <w:tcPr>
            <w:tcW w:w="2340" w:type="dxa"/>
            <w:tcBorders>
              <w:top w:val="nil"/>
              <w:left w:val="nil"/>
              <w:bottom w:val="single" w:color="auto" w:sz="4" w:space="0"/>
              <w:right w:val="single" w:color="auto" w:sz="4" w:space="0"/>
            </w:tcBorders>
            <w:shd w:val="clear" w:color="auto" w:fill="auto"/>
            <w:vAlign w:val="center"/>
          </w:tcPr>
          <w:p w14:paraId="2210EC2E">
            <w:pPr>
              <w:widowControl/>
              <w:suppressAutoHyphens w:val="0"/>
              <w:overflowPunct/>
              <w:jc w:val="center"/>
              <w:rPr>
                <w:rFonts w:hint="eastAsia"/>
                <w:sz w:val="24"/>
                <w:szCs w:val="24"/>
              </w:rPr>
            </w:pPr>
            <w:r>
              <w:rPr>
                <w:rFonts w:hint="eastAsia"/>
                <w:sz w:val="24"/>
                <w:szCs w:val="24"/>
              </w:rPr>
              <w:t>水泵</w:t>
            </w:r>
          </w:p>
        </w:tc>
        <w:tc>
          <w:tcPr>
            <w:tcW w:w="3300" w:type="dxa"/>
            <w:tcBorders>
              <w:top w:val="nil"/>
              <w:left w:val="nil"/>
              <w:bottom w:val="single" w:color="auto" w:sz="4" w:space="0"/>
              <w:right w:val="single" w:color="auto" w:sz="4" w:space="0"/>
            </w:tcBorders>
            <w:shd w:val="clear" w:color="auto" w:fill="auto"/>
            <w:vAlign w:val="center"/>
          </w:tcPr>
          <w:p w14:paraId="162A3C15">
            <w:pPr>
              <w:widowControl/>
              <w:suppressAutoHyphens w:val="0"/>
              <w:overflowPunct/>
              <w:jc w:val="center"/>
              <w:rPr>
                <w:rFonts w:hint="eastAsia"/>
                <w:sz w:val="24"/>
                <w:szCs w:val="24"/>
              </w:rPr>
            </w:pPr>
            <w:r>
              <w:rPr>
                <w:rFonts w:hint="eastAsia"/>
                <w:sz w:val="24"/>
                <w:szCs w:val="24"/>
              </w:rPr>
              <w:t>扬程≥2m</w:t>
            </w:r>
          </w:p>
        </w:tc>
        <w:tc>
          <w:tcPr>
            <w:tcW w:w="800" w:type="dxa"/>
            <w:tcBorders>
              <w:top w:val="nil"/>
              <w:left w:val="nil"/>
              <w:bottom w:val="single" w:color="auto" w:sz="4" w:space="0"/>
              <w:right w:val="single" w:color="auto" w:sz="4" w:space="0"/>
            </w:tcBorders>
            <w:shd w:val="clear" w:color="auto" w:fill="auto"/>
            <w:vAlign w:val="center"/>
          </w:tcPr>
          <w:p w14:paraId="374E573A">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739FD697">
            <w:pPr>
              <w:widowControl/>
              <w:suppressAutoHyphens w:val="0"/>
              <w:overflowPunct/>
              <w:jc w:val="center"/>
              <w:rPr>
                <w:rFonts w:hint="eastAsia"/>
                <w:sz w:val="24"/>
                <w:szCs w:val="24"/>
              </w:rPr>
            </w:pPr>
            <w:r>
              <w:rPr>
                <w:rFonts w:hint="eastAsia"/>
                <w:sz w:val="24"/>
                <w:szCs w:val="24"/>
              </w:rPr>
              <w:t>1</w:t>
            </w:r>
          </w:p>
        </w:tc>
        <w:tc>
          <w:tcPr>
            <w:tcW w:w="2080" w:type="dxa"/>
            <w:tcBorders>
              <w:top w:val="nil"/>
              <w:left w:val="nil"/>
              <w:bottom w:val="single" w:color="auto" w:sz="4" w:space="0"/>
              <w:right w:val="single" w:color="auto" w:sz="4" w:space="0"/>
            </w:tcBorders>
            <w:shd w:val="clear" w:color="auto" w:fill="auto"/>
            <w:vAlign w:val="center"/>
          </w:tcPr>
          <w:p w14:paraId="2980ABC8">
            <w:pPr>
              <w:widowControl/>
              <w:suppressAutoHyphens w:val="0"/>
              <w:overflowPunct/>
              <w:jc w:val="center"/>
              <w:rPr>
                <w:rFonts w:hint="eastAsia"/>
                <w:sz w:val="24"/>
                <w:szCs w:val="24"/>
              </w:rPr>
            </w:pPr>
            <w:r>
              <w:rPr>
                <w:rFonts w:hint="eastAsia"/>
                <w:sz w:val="24"/>
                <w:szCs w:val="24"/>
              </w:rPr>
              <w:t>　</w:t>
            </w:r>
          </w:p>
        </w:tc>
      </w:tr>
      <w:tr w14:paraId="60F68620">
        <w:tblPrEx>
          <w:tblCellMar>
            <w:top w:w="0" w:type="dxa"/>
            <w:left w:w="108" w:type="dxa"/>
            <w:bottom w:w="0" w:type="dxa"/>
            <w:right w:w="108" w:type="dxa"/>
          </w:tblCellMar>
        </w:tblPrEx>
        <w:trPr>
          <w:trHeight w:val="62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703E30F8">
            <w:pPr>
              <w:widowControl/>
              <w:suppressAutoHyphens w:val="0"/>
              <w:overflowPunct/>
              <w:jc w:val="center"/>
              <w:rPr>
                <w:rFonts w:hint="eastAsia"/>
                <w:sz w:val="24"/>
                <w:szCs w:val="24"/>
              </w:rPr>
            </w:pPr>
            <w:r>
              <w:rPr>
                <w:rFonts w:hint="eastAsia"/>
                <w:sz w:val="24"/>
                <w:szCs w:val="24"/>
              </w:rPr>
              <w:t>3</w:t>
            </w:r>
          </w:p>
        </w:tc>
        <w:tc>
          <w:tcPr>
            <w:tcW w:w="2340" w:type="dxa"/>
            <w:tcBorders>
              <w:top w:val="nil"/>
              <w:left w:val="nil"/>
              <w:bottom w:val="single" w:color="auto" w:sz="4" w:space="0"/>
              <w:right w:val="single" w:color="auto" w:sz="4" w:space="0"/>
            </w:tcBorders>
            <w:shd w:val="clear" w:color="auto" w:fill="auto"/>
            <w:vAlign w:val="center"/>
          </w:tcPr>
          <w:p w14:paraId="70330108">
            <w:pPr>
              <w:widowControl/>
              <w:suppressAutoHyphens w:val="0"/>
              <w:overflowPunct/>
              <w:jc w:val="center"/>
              <w:rPr>
                <w:rFonts w:hint="eastAsia"/>
                <w:sz w:val="24"/>
                <w:szCs w:val="24"/>
              </w:rPr>
            </w:pPr>
            <w:r>
              <w:rPr>
                <w:rFonts w:hint="eastAsia"/>
                <w:sz w:val="24"/>
                <w:szCs w:val="24"/>
              </w:rPr>
              <w:t>箱体内腔尺寸</w:t>
            </w:r>
          </w:p>
        </w:tc>
        <w:tc>
          <w:tcPr>
            <w:tcW w:w="3300" w:type="dxa"/>
            <w:tcBorders>
              <w:top w:val="nil"/>
              <w:left w:val="nil"/>
              <w:bottom w:val="single" w:color="auto" w:sz="4" w:space="0"/>
              <w:right w:val="single" w:color="auto" w:sz="4" w:space="0"/>
            </w:tcBorders>
            <w:shd w:val="clear" w:color="auto" w:fill="auto"/>
            <w:vAlign w:val="center"/>
          </w:tcPr>
          <w:p w14:paraId="3FED5B91">
            <w:pPr>
              <w:widowControl/>
              <w:suppressAutoHyphens w:val="0"/>
              <w:overflowPunct/>
              <w:jc w:val="center"/>
              <w:rPr>
                <w:rFonts w:hint="eastAsia"/>
                <w:sz w:val="24"/>
                <w:szCs w:val="24"/>
              </w:rPr>
            </w:pPr>
            <w:r>
              <w:rPr>
                <w:rFonts w:hint="eastAsia"/>
                <w:sz w:val="24"/>
                <w:szCs w:val="24"/>
              </w:rPr>
              <w:t xml:space="preserve">≥(D)1500 (W) 1000( H) 1500（mm） </w:t>
            </w:r>
          </w:p>
        </w:tc>
        <w:tc>
          <w:tcPr>
            <w:tcW w:w="800" w:type="dxa"/>
            <w:tcBorders>
              <w:top w:val="nil"/>
              <w:left w:val="nil"/>
              <w:bottom w:val="single" w:color="auto" w:sz="4" w:space="0"/>
              <w:right w:val="single" w:color="auto" w:sz="4" w:space="0"/>
            </w:tcBorders>
            <w:shd w:val="clear" w:color="auto" w:fill="auto"/>
            <w:vAlign w:val="center"/>
          </w:tcPr>
          <w:p w14:paraId="78D32D1D">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288F1610">
            <w:pPr>
              <w:widowControl/>
              <w:suppressAutoHyphens w:val="0"/>
              <w:overflowPunct/>
              <w:jc w:val="center"/>
              <w:rPr>
                <w:rFonts w:hint="eastAsia"/>
                <w:sz w:val="24"/>
                <w:szCs w:val="24"/>
              </w:rPr>
            </w:pPr>
            <w:r>
              <w:rPr>
                <w:rFonts w:hint="eastAsia"/>
                <w:sz w:val="24"/>
                <w:szCs w:val="24"/>
              </w:rPr>
              <w:t>1</w:t>
            </w:r>
          </w:p>
        </w:tc>
        <w:tc>
          <w:tcPr>
            <w:tcW w:w="2080" w:type="dxa"/>
            <w:tcBorders>
              <w:top w:val="nil"/>
              <w:left w:val="nil"/>
              <w:bottom w:val="single" w:color="auto" w:sz="4" w:space="0"/>
              <w:right w:val="single" w:color="auto" w:sz="4" w:space="0"/>
            </w:tcBorders>
            <w:shd w:val="clear" w:color="auto" w:fill="auto"/>
            <w:vAlign w:val="center"/>
          </w:tcPr>
          <w:p w14:paraId="1A02830F">
            <w:pPr>
              <w:widowControl/>
              <w:suppressAutoHyphens w:val="0"/>
              <w:overflowPunct/>
              <w:jc w:val="center"/>
              <w:rPr>
                <w:rFonts w:hint="eastAsia"/>
                <w:sz w:val="24"/>
                <w:szCs w:val="24"/>
              </w:rPr>
            </w:pPr>
            <w:r>
              <w:rPr>
                <w:rFonts w:hint="eastAsia"/>
                <w:sz w:val="24"/>
                <w:szCs w:val="24"/>
              </w:rPr>
              <w:t>以实际尺寸测量制作，略有不同。</w:t>
            </w:r>
          </w:p>
        </w:tc>
      </w:tr>
      <w:tr w14:paraId="661D884E">
        <w:tblPrEx>
          <w:tblCellMar>
            <w:top w:w="0" w:type="dxa"/>
            <w:left w:w="108" w:type="dxa"/>
            <w:bottom w:w="0" w:type="dxa"/>
            <w:right w:w="108" w:type="dxa"/>
          </w:tblCellMar>
        </w:tblPrEx>
        <w:trPr>
          <w:trHeight w:val="31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24B13B92">
            <w:pPr>
              <w:widowControl/>
              <w:suppressAutoHyphens w:val="0"/>
              <w:overflowPunct/>
              <w:jc w:val="center"/>
              <w:rPr>
                <w:rFonts w:hint="eastAsia"/>
                <w:sz w:val="24"/>
                <w:szCs w:val="24"/>
              </w:rPr>
            </w:pPr>
            <w:r>
              <w:rPr>
                <w:rFonts w:hint="eastAsia"/>
                <w:sz w:val="24"/>
                <w:szCs w:val="24"/>
              </w:rPr>
              <w:t>4</w:t>
            </w:r>
          </w:p>
        </w:tc>
        <w:tc>
          <w:tcPr>
            <w:tcW w:w="2340" w:type="dxa"/>
            <w:tcBorders>
              <w:top w:val="nil"/>
              <w:left w:val="nil"/>
              <w:bottom w:val="single" w:color="auto" w:sz="4" w:space="0"/>
              <w:right w:val="single" w:color="auto" w:sz="4" w:space="0"/>
            </w:tcBorders>
            <w:shd w:val="clear" w:color="auto" w:fill="auto"/>
            <w:vAlign w:val="center"/>
          </w:tcPr>
          <w:p w14:paraId="0D4E3A25">
            <w:pPr>
              <w:widowControl/>
              <w:suppressAutoHyphens w:val="0"/>
              <w:overflowPunct/>
              <w:jc w:val="center"/>
              <w:rPr>
                <w:rFonts w:hint="eastAsia"/>
                <w:sz w:val="24"/>
                <w:szCs w:val="24"/>
              </w:rPr>
            </w:pPr>
            <w:r>
              <w:rPr>
                <w:rFonts w:hint="eastAsia"/>
                <w:sz w:val="24"/>
                <w:szCs w:val="24"/>
              </w:rPr>
              <w:t>真彩液晶触摸显示器</w:t>
            </w:r>
          </w:p>
        </w:tc>
        <w:tc>
          <w:tcPr>
            <w:tcW w:w="3300" w:type="dxa"/>
            <w:tcBorders>
              <w:top w:val="nil"/>
              <w:left w:val="nil"/>
              <w:bottom w:val="single" w:color="auto" w:sz="4" w:space="0"/>
              <w:right w:val="single" w:color="auto" w:sz="4" w:space="0"/>
            </w:tcBorders>
            <w:shd w:val="clear" w:color="auto" w:fill="auto"/>
            <w:vAlign w:val="center"/>
          </w:tcPr>
          <w:p w14:paraId="3FE3AB80">
            <w:pPr>
              <w:widowControl/>
              <w:suppressAutoHyphens w:val="0"/>
              <w:overflowPunct/>
              <w:jc w:val="center"/>
              <w:rPr>
                <w:rFonts w:hint="eastAsia"/>
                <w:sz w:val="24"/>
                <w:szCs w:val="24"/>
              </w:rPr>
            </w:pPr>
            <w:r>
              <w:rPr>
                <w:rFonts w:hint="eastAsia"/>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21FCBB64">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21CF3578">
            <w:pPr>
              <w:widowControl/>
              <w:suppressAutoHyphens w:val="0"/>
              <w:overflowPunct/>
              <w:jc w:val="center"/>
              <w:rPr>
                <w:rFonts w:hint="eastAsia"/>
                <w:sz w:val="24"/>
                <w:szCs w:val="24"/>
              </w:rPr>
            </w:pPr>
            <w:r>
              <w:rPr>
                <w:rFonts w:hint="eastAsia"/>
                <w:sz w:val="24"/>
                <w:szCs w:val="24"/>
              </w:rPr>
              <w:t>1</w:t>
            </w:r>
          </w:p>
        </w:tc>
        <w:tc>
          <w:tcPr>
            <w:tcW w:w="2080" w:type="dxa"/>
            <w:tcBorders>
              <w:top w:val="nil"/>
              <w:left w:val="nil"/>
              <w:bottom w:val="single" w:color="auto" w:sz="4" w:space="0"/>
              <w:right w:val="single" w:color="auto" w:sz="4" w:space="0"/>
            </w:tcBorders>
            <w:shd w:val="clear" w:color="auto" w:fill="auto"/>
            <w:vAlign w:val="center"/>
          </w:tcPr>
          <w:p w14:paraId="310978DE">
            <w:pPr>
              <w:widowControl/>
              <w:suppressAutoHyphens w:val="0"/>
              <w:overflowPunct/>
              <w:jc w:val="center"/>
              <w:rPr>
                <w:rFonts w:hint="eastAsia"/>
                <w:sz w:val="24"/>
                <w:szCs w:val="24"/>
              </w:rPr>
            </w:pPr>
            <w:r>
              <w:rPr>
                <w:rFonts w:hint="eastAsia"/>
                <w:sz w:val="24"/>
                <w:szCs w:val="24"/>
              </w:rPr>
              <w:t>　</w:t>
            </w:r>
          </w:p>
        </w:tc>
      </w:tr>
      <w:tr w14:paraId="069DCCB9">
        <w:tblPrEx>
          <w:tblCellMar>
            <w:top w:w="0" w:type="dxa"/>
            <w:left w:w="108" w:type="dxa"/>
            <w:bottom w:w="0" w:type="dxa"/>
            <w:right w:w="108" w:type="dxa"/>
          </w:tblCellMar>
        </w:tblPrEx>
        <w:trPr>
          <w:trHeight w:val="31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0CA71789">
            <w:pPr>
              <w:widowControl/>
              <w:suppressAutoHyphens w:val="0"/>
              <w:overflowPunct/>
              <w:jc w:val="center"/>
              <w:rPr>
                <w:rFonts w:hint="eastAsia"/>
                <w:sz w:val="24"/>
                <w:szCs w:val="24"/>
              </w:rPr>
            </w:pPr>
            <w:r>
              <w:rPr>
                <w:rFonts w:hint="eastAsia"/>
                <w:sz w:val="24"/>
                <w:szCs w:val="24"/>
              </w:rPr>
              <w:t>5</w:t>
            </w:r>
          </w:p>
        </w:tc>
        <w:tc>
          <w:tcPr>
            <w:tcW w:w="2340" w:type="dxa"/>
            <w:tcBorders>
              <w:top w:val="nil"/>
              <w:left w:val="nil"/>
              <w:bottom w:val="single" w:color="auto" w:sz="4" w:space="0"/>
              <w:right w:val="single" w:color="auto" w:sz="4" w:space="0"/>
            </w:tcBorders>
            <w:shd w:val="clear" w:color="auto" w:fill="auto"/>
            <w:vAlign w:val="center"/>
          </w:tcPr>
          <w:p w14:paraId="54FBECEB">
            <w:pPr>
              <w:widowControl/>
              <w:suppressAutoHyphens w:val="0"/>
              <w:overflowPunct/>
              <w:jc w:val="center"/>
              <w:rPr>
                <w:rFonts w:hint="eastAsia"/>
                <w:sz w:val="24"/>
                <w:szCs w:val="24"/>
              </w:rPr>
            </w:pPr>
            <w:r>
              <w:rPr>
                <w:rFonts w:hint="eastAsia"/>
                <w:sz w:val="24"/>
                <w:szCs w:val="24"/>
              </w:rPr>
              <w:t>不锈钢冲孔钢板置物架</w:t>
            </w:r>
          </w:p>
        </w:tc>
        <w:tc>
          <w:tcPr>
            <w:tcW w:w="3300" w:type="dxa"/>
            <w:tcBorders>
              <w:top w:val="nil"/>
              <w:left w:val="nil"/>
              <w:bottom w:val="single" w:color="auto" w:sz="4" w:space="0"/>
              <w:right w:val="single" w:color="auto" w:sz="4" w:space="0"/>
            </w:tcBorders>
            <w:shd w:val="clear" w:color="auto" w:fill="auto"/>
            <w:vAlign w:val="center"/>
          </w:tcPr>
          <w:p w14:paraId="7B80BEF6">
            <w:pPr>
              <w:widowControl/>
              <w:suppressAutoHyphens w:val="0"/>
              <w:overflowPunct/>
              <w:jc w:val="center"/>
              <w:rPr>
                <w:rFonts w:hint="eastAsia"/>
                <w:sz w:val="24"/>
                <w:szCs w:val="24"/>
              </w:rPr>
            </w:pPr>
            <w:r>
              <w:rPr>
                <w:rFonts w:hint="eastAsia"/>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075D02A6">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43BDDB42">
            <w:pPr>
              <w:widowControl/>
              <w:suppressAutoHyphens w:val="0"/>
              <w:overflowPunct/>
              <w:jc w:val="center"/>
              <w:rPr>
                <w:rFonts w:hint="eastAsia"/>
                <w:sz w:val="24"/>
                <w:szCs w:val="24"/>
              </w:rPr>
            </w:pPr>
            <w:r>
              <w:rPr>
                <w:rFonts w:hint="eastAsia"/>
                <w:sz w:val="24"/>
                <w:szCs w:val="24"/>
              </w:rPr>
              <w:t>2</w:t>
            </w:r>
          </w:p>
        </w:tc>
        <w:tc>
          <w:tcPr>
            <w:tcW w:w="2080" w:type="dxa"/>
            <w:tcBorders>
              <w:top w:val="nil"/>
              <w:left w:val="nil"/>
              <w:bottom w:val="single" w:color="auto" w:sz="4" w:space="0"/>
              <w:right w:val="single" w:color="auto" w:sz="4" w:space="0"/>
            </w:tcBorders>
            <w:shd w:val="clear" w:color="auto" w:fill="auto"/>
            <w:vAlign w:val="center"/>
          </w:tcPr>
          <w:p w14:paraId="4CB6DF70">
            <w:pPr>
              <w:widowControl/>
              <w:suppressAutoHyphens w:val="0"/>
              <w:overflowPunct/>
              <w:jc w:val="center"/>
              <w:rPr>
                <w:rFonts w:hint="eastAsia"/>
                <w:sz w:val="24"/>
                <w:szCs w:val="24"/>
              </w:rPr>
            </w:pPr>
            <w:r>
              <w:rPr>
                <w:rFonts w:hint="eastAsia"/>
                <w:sz w:val="24"/>
                <w:szCs w:val="24"/>
              </w:rPr>
              <w:t>　</w:t>
            </w:r>
          </w:p>
        </w:tc>
      </w:tr>
      <w:tr w14:paraId="12613B2C">
        <w:tblPrEx>
          <w:tblCellMar>
            <w:top w:w="0" w:type="dxa"/>
            <w:left w:w="108" w:type="dxa"/>
            <w:bottom w:w="0" w:type="dxa"/>
            <w:right w:w="108" w:type="dxa"/>
          </w:tblCellMar>
        </w:tblPrEx>
        <w:trPr>
          <w:trHeight w:val="62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1B94C1D1">
            <w:pPr>
              <w:widowControl/>
              <w:suppressAutoHyphens w:val="0"/>
              <w:overflowPunct/>
              <w:jc w:val="center"/>
              <w:rPr>
                <w:rFonts w:hint="eastAsia"/>
                <w:sz w:val="24"/>
                <w:szCs w:val="24"/>
              </w:rPr>
            </w:pPr>
            <w:r>
              <w:rPr>
                <w:rFonts w:hint="eastAsia"/>
                <w:sz w:val="24"/>
                <w:szCs w:val="24"/>
              </w:rPr>
              <w:t>6</w:t>
            </w:r>
          </w:p>
        </w:tc>
        <w:tc>
          <w:tcPr>
            <w:tcW w:w="2340" w:type="dxa"/>
            <w:tcBorders>
              <w:top w:val="nil"/>
              <w:left w:val="nil"/>
              <w:bottom w:val="single" w:color="auto" w:sz="4" w:space="0"/>
              <w:right w:val="single" w:color="auto" w:sz="4" w:space="0"/>
            </w:tcBorders>
            <w:shd w:val="clear" w:color="auto" w:fill="auto"/>
            <w:vAlign w:val="center"/>
          </w:tcPr>
          <w:p w14:paraId="57214BA6">
            <w:pPr>
              <w:widowControl/>
              <w:suppressAutoHyphens w:val="0"/>
              <w:overflowPunct/>
              <w:jc w:val="center"/>
              <w:rPr>
                <w:rFonts w:hint="eastAsia"/>
                <w:sz w:val="24"/>
                <w:szCs w:val="24"/>
              </w:rPr>
            </w:pPr>
            <w:r>
              <w:rPr>
                <w:rFonts w:hint="eastAsia"/>
                <w:sz w:val="24"/>
                <w:szCs w:val="24"/>
              </w:rPr>
              <w:t>不锈钢可调整间距置物架轨道</w:t>
            </w:r>
          </w:p>
        </w:tc>
        <w:tc>
          <w:tcPr>
            <w:tcW w:w="3300" w:type="dxa"/>
            <w:tcBorders>
              <w:top w:val="nil"/>
              <w:left w:val="nil"/>
              <w:bottom w:val="single" w:color="auto" w:sz="4" w:space="0"/>
              <w:right w:val="single" w:color="auto" w:sz="4" w:space="0"/>
            </w:tcBorders>
            <w:shd w:val="clear" w:color="auto" w:fill="auto"/>
            <w:vAlign w:val="center"/>
          </w:tcPr>
          <w:p w14:paraId="7B07B609">
            <w:pPr>
              <w:widowControl/>
              <w:suppressAutoHyphens w:val="0"/>
              <w:overflowPunct/>
              <w:jc w:val="center"/>
              <w:rPr>
                <w:rFonts w:hint="eastAsia"/>
                <w:sz w:val="24"/>
                <w:szCs w:val="24"/>
              </w:rPr>
            </w:pPr>
            <w:r>
              <w:rPr>
                <w:rFonts w:hint="eastAsia"/>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548BDE5E">
            <w:pPr>
              <w:widowControl/>
              <w:suppressAutoHyphens w:val="0"/>
              <w:overflowPunct/>
              <w:jc w:val="center"/>
              <w:rPr>
                <w:rFonts w:hint="eastAsia"/>
                <w:sz w:val="24"/>
                <w:szCs w:val="24"/>
              </w:rPr>
            </w:pPr>
            <w:r>
              <w:rPr>
                <w:rFonts w:hint="eastAsia"/>
                <w:sz w:val="24"/>
                <w:szCs w:val="24"/>
              </w:rPr>
              <w:t>个</w:t>
            </w:r>
          </w:p>
        </w:tc>
        <w:tc>
          <w:tcPr>
            <w:tcW w:w="800" w:type="dxa"/>
            <w:tcBorders>
              <w:top w:val="nil"/>
              <w:left w:val="nil"/>
              <w:bottom w:val="single" w:color="auto" w:sz="4" w:space="0"/>
              <w:right w:val="single" w:color="auto" w:sz="4" w:space="0"/>
            </w:tcBorders>
            <w:shd w:val="clear" w:color="auto" w:fill="auto"/>
            <w:vAlign w:val="center"/>
          </w:tcPr>
          <w:p w14:paraId="7C6A6BAF">
            <w:pPr>
              <w:widowControl/>
              <w:suppressAutoHyphens w:val="0"/>
              <w:overflowPunct/>
              <w:jc w:val="center"/>
              <w:rPr>
                <w:rFonts w:hint="eastAsia"/>
                <w:sz w:val="24"/>
                <w:szCs w:val="24"/>
              </w:rPr>
            </w:pPr>
            <w:r>
              <w:rPr>
                <w:rFonts w:hint="eastAsia"/>
                <w:sz w:val="24"/>
                <w:szCs w:val="24"/>
              </w:rPr>
              <w:t>2</w:t>
            </w:r>
          </w:p>
        </w:tc>
        <w:tc>
          <w:tcPr>
            <w:tcW w:w="2080" w:type="dxa"/>
            <w:tcBorders>
              <w:top w:val="nil"/>
              <w:left w:val="nil"/>
              <w:bottom w:val="single" w:color="auto" w:sz="4" w:space="0"/>
              <w:right w:val="single" w:color="auto" w:sz="4" w:space="0"/>
            </w:tcBorders>
            <w:shd w:val="clear" w:color="auto" w:fill="auto"/>
            <w:vAlign w:val="center"/>
          </w:tcPr>
          <w:p w14:paraId="24449FD3">
            <w:pPr>
              <w:widowControl/>
              <w:suppressAutoHyphens w:val="0"/>
              <w:overflowPunct/>
              <w:jc w:val="center"/>
              <w:rPr>
                <w:rFonts w:hint="eastAsia"/>
                <w:sz w:val="24"/>
                <w:szCs w:val="24"/>
              </w:rPr>
            </w:pPr>
            <w:r>
              <w:rPr>
                <w:rFonts w:hint="eastAsia"/>
                <w:sz w:val="24"/>
                <w:szCs w:val="24"/>
              </w:rPr>
              <w:t>　</w:t>
            </w:r>
          </w:p>
        </w:tc>
      </w:tr>
    </w:tbl>
    <w:p w14:paraId="671BD009">
      <w:pPr>
        <w:rPr>
          <w:rFonts w:hint="eastAsia"/>
          <w:sz w:val="24"/>
          <w:szCs w:val="24"/>
        </w:rPr>
      </w:pPr>
    </w:p>
    <w:p w14:paraId="17D5C9AE">
      <w:pPr>
        <w:rPr>
          <w:sz w:val="24"/>
          <w:szCs w:val="24"/>
        </w:rPr>
      </w:pPr>
      <w:r>
        <w:rPr>
          <w:sz w:val="24"/>
          <w:szCs w:val="24"/>
        </w:rPr>
        <w:t>第</w:t>
      </w:r>
      <w:r>
        <w:rPr>
          <w:rFonts w:hint="eastAsia"/>
          <w:sz w:val="24"/>
          <w:szCs w:val="24"/>
        </w:rPr>
        <w:t>六</w:t>
      </w:r>
      <w:r>
        <w:rPr>
          <w:sz w:val="24"/>
          <w:szCs w:val="24"/>
        </w:rPr>
        <w:t>章  投标技术档一般要求</w:t>
      </w:r>
    </w:p>
    <w:p w14:paraId="1AC67205">
      <w:pPr>
        <w:rPr>
          <w:sz w:val="24"/>
          <w:szCs w:val="24"/>
        </w:rPr>
      </w:pPr>
      <w:r>
        <w:rPr>
          <w:rFonts w:hint="eastAsia"/>
          <w:sz w:val="24"/>
          <w:szCs w:val="24"/>
        </w:rPr>
        <w:t>一、技术档一般内容要求</w:t>
      </w:r>
    </w:p>
    <w:p w14:paraId="361E8C7E">
      <w:pPr>
        <w:rPr>
          <w:sz w:val="24"/>
          <w:szCs w:val="24"/>
        </w:rPr>
      </w:pPr>
      <w:r>
        <w:rPr>
          <w:sz w:val="24"/>
          <w:szCs w:val="24"/>
        </w:rPr>
        <w:t>1、投标方应认真阅读招标档和本技术标书，并按要求编写投标技术档。</w:t>
      </w:r>
    </w:p>
    <w:p w14:paraId="6706830A">
      <w:pPr>
        <w:rPr>
          <w:sz w:val="24"/>
          <w:szCs w:val="24"/>
        </w:rPr>
      </w:pPr>
      <w:r>
        <w:rPr>
          <w:sz w:val="24"/>
          <w:szCs w:val="24"/>
        </w:rPr>
        <w:t>2、投标技术档至少应对投标货物的功能用途、技术性能、质量标准、技术参数等作出详细说明。</w:t>
      </w:r>
    </w:p>
    <w:p w14:paraId="238F7B93">
      <w:pPr>
        <w:rPr>
          <w:sz w:val="24"/>
          <w:szCs w:val="24"/>
        </w:rPr>
      </w:pPr>
      <w:r>
        <w:rPr>
          <w:sz w:val="24"/>
          <w:szCs w:val="24"/>
        </w:rPr>
        <w:t>3、投标技术档至少应根据投标货物的关键设备、总成、零部件或系统作出满足或优于招标档要求的详细说明。</w:t>
      </w:r>
    </w:p>
    <w:p w14:paraId="57F24004">
      <w:pPr>
        <w:rPr>
          <w:sz w:val="24"/>
          <w:szCs w:val="24"/>
        </w:rPr>
      </w:pPr>
      <w:r>
        <w:rPr>
          <w:sz w:val="24"/>
          <w:szCs w:val="24"/>
        </w:rPr>
        <w:t>4、投标技术档至少应按照招标档要求（或投标方建议）列明备品备件、易损件和专用耗材明细。</w:t>
      </w:r>
    </w:p>
    <w:p w14:paraId="32C72881">
      <w:pPr>
        <w:rPr>
          <w:sz w:val="24"/>
          <w:szCs w:val="24"/>
        </w:rPr>
      </w:pPr>
      <w:r>
        <w:rPr>
          <w:sz w:val="24"/>
          <w:szCs w:val="24"/>
        </w:rPr>
        <w:t>5、投标方应当而且必须分别说明所列备品备件、易损件和专用耗材的使用寿命（以有效工作小时数说明）。</w:t>
      </w:r>
    </w:p>
    <w:p w14:paraId="685FBC7C">
      <w:pPr>
        <w:rPr>
          <w:sz w:val="24"/>
          <w:szCs w:val="24"/>
        </w:rPr>
      </w:pPr>
      <w:r>
        <w:rPr>
          <w:sz w:val="24"/>
          <w:szCs w:val="24"/>
        </w:rPr>
        <w:t>6</w:t>
      </w:r>
      <w:r>
        <w:rPr>
          <w:rFonts w:hint="eastAsia"/>
          <w:sz w:val="24"/>
          <w:szCs w:val="24"/>
        </w:rPr>
        <w:t>、</w:t>
      </w:r>
      <w:r>
        <w:rPr>
          <w:sz w:val="24"/>
          <w:szCs w:val="24"/>
        </w:rPr>
        <w:t>“开标一览表”和“明细表”仅作为投标方编制投标技术档的一般格式。其中序号编写应当便于招标方了解分类或分项货物之间的所属关系，如1、1.1、1.2。</w:t>
      </w:r>
    </w:p>
    <w:p w14:paraId="611B5DDC">
      <w:pPr>
        <w:rPr>
          <w:sz w:val="24"/>
          <w:szCs w:val="24"/>
        </w:rPr>
      </w:pPr>
      <w:r>
        <w:rPr>
          <w:rFonts w:hint="eastAsia"/>
          <w:sz w:val="24"/>
          <w:szCs w:val="24"/>
        </w:rPr>
        <w:t>7、</w:t>
      </w:r>
      <w:r>
        <w:rPr>
          <w:sz w:val="24"/>
          <w:szCs w:val="24"/>
        </w:rPr>
        <w:t>应当尽可能将货物的配置列全、列细，这将有助于投标方胜出。</w:t>
      </w:r>
    </w:p>
    <w:p w14:paraId="13FF267F">
      <w:pPr>
        <w:rPr>
          <w:sz w:val="24"/>
          <w:szCs w:val="24"/>
        </w:rPr>
      </w:pPr>
      <w:r>
        <w:rPr>
          <w:rFonts w:hint="eastAsia"/>
          <w:sz w:val="24"/>
          <w:szCs w:val="24"/>
        </w:rPr>
        <w:t>8、</w:t>
      </w:r>
      <w:r>
        <w:rPr>
          <w:sz w:val="24"/>
          <w:szCs w:val="24"/>
        </w:rPr>
        <w:t>单价与总价之间、总价与分类小计价之间、分类小计价与合计价之间数据应当齐全而且准确。</w:t>
      </w:r>
    </w:p>
    <w:p w14:paraId="085DF8CA">
      <w:pPr>
        <w:rPr>
          <w:sz w:val="24"/>
          <w:szCs w:val="24"/>
        </w:rPr>
      </w:pPr>
      <w:r>
        <w:rPr>
          <w:rFonts w:hint="eastAsia"/>
          <w:sz w:val="24"/>
          <w:szCs w:val="24"/>
        </w:rPr>
        <w:t>9、</w:t>
      </w:r>
      <w:r>
        <w:rPr>
          <w:sz w:val="24"/>
          <w:szCs w:val="24"/>
        </w:rPr>
        <w:t>本条款表格中的制造商，应当为全称或公认的简称。</w:t>
      </w:r>
    </w:p>
    <w:p w14:paraId="23718C39">
      <w:pPr>
        <w:rPr>
          <w:sz w:val="24"/>
          <w:szCs w:val="24"/>
        </w:rPr>
      </w:pPr>
      <w:r>
        <w:rPr>
          <w:rFonts w:hint="eastAsia"/>
          <w:sz w:val="24"/>
          <w:szCs w:val="24"/>
        </w:rPr>
        <w:t>二、技术档中货物报价格式要求</w:t>
      </w:r>
    </w:p>
    <w:p w14:paraId="1825D4E2">
      <w:pPr>
        <w:rPr>
          <w:sz w:val="24"/>
          <w:szCs w:val="24"/>
        </w:rPr>
      </w:pPr>
      <w:r>
        <w:rPr>
          <w:sz w:val="24"/>
          <w:szCs w:val="24"/>
        </w:rPr>
        <w:t>1、投标技术档中，如未按照要求编写、或者存在漏项和缺项，将有可能造成对投标方不必要的误解；必要时，漏项和缺项涉及的费用，将有可能以其他投标方中，相同或相似项目的最高价，计入投标方的投标总报价之内，作为评标的依据之一。</w:t>
      </w:r>
    </w:p>
    <w:p w14:paraId="3EFC4D3F">
      <w:pPr>
        <w:rPr>
          <w:sz w:val="24"/>
          <w:szCs w:val="24"/>
        </w:rPr>
      </w:pPr>
      <w:r>
        <w:rPr>
          <w:sz w:val="24"/>
          <w:szCs w:val="24"/>
        </w:rPr>
        <w:t>2、如果投标总报价与其它价格出现错误或不一致，将有可能导致废标。</w:t>
      </w:r>
    </w:p>
    <w:p w14:paraId="19D16D56">
      <w:pPr>
        <w:rPr>
          <w:sz w:val="24"/>
          <w:szCs w:val="24"/>
        </w:rPr>
      </w:pPr>
      <w:r>
        <w:rPr>
          <w:sz w:val="24"/>
          <w:szCs w:val="24"/>
        </w:rPr>
        <w:t>3、投标总报价为自合同签定生效至合同无异议执行完毕涉及的买方需要支付的全部费用。如投标方认为本招标及投标货物涉及特需或专门的设计，应当单独列明设计费。</w:t>
      </w:r>
    </w:p>
    <w:p w14:paraId="41A3A026">
      <w:pPr>
        <w:rPr>
          <w:sz w:val="24"/>
          <w:szCs w:val="24"/>
        </w:rPr>
      </w:pPr>
      <w:r>
        <w:rPr>
          <w:rFonts w:hint="eastAsia"/>
          <w:sz w:val="24"/>
          <w:szCs w:val="24"/>
        </w:rPr>
        <w:t>4</w:t>
      </w:r>
      <w:r>
        <w:rPr>
          <w:sz w:val="24"/>
          <w:szCs w:val="24"/>
        </w:rPr>
        <w:t>、要求投标总报价、分项报价、明细报价之间应当具有相互间对应关系以及填报分项和明细报价，仅为便于评标而不妨碍投标人以最合适的形式签署合同。</w:t>
      </w:r>
    </w:p>
    <w:p w14:paraId="0FF52476">
      <w:pPr>
        <w:rPr>
          <w:sz w:val="24"/>
          <w:szCs w:val="24"/>
        </w:rPr>
      </w:pPr>
      <w:r>
        <w:rPr>
          <w:rFonts w:hint="eastAsia"/>
          <w:sz w:val="24"/>
          <w:szCs w:val="24"/>
        </w:rPr>
        <w:t>三、验收标准及内容要求</w:t>
      </w:r>
    </w:p>
    <w:p w14:paraId="39374AEA">
      <w:pPr>
        <w:rPr>
          <w:sz w:val="24"/>
          <w:szCs w:val="24"/>
        </w:rPr>
      </w:pPr>
      <w:r>
        <w:rPr>
          <w:rFonts w:hint="eastAsia"/>
          <w:sz w:val="24"/>
          <w:szCs w:val="24"/>
        </w:rPr>
        <w:t>除招标档明确的验收标准或内容之外，投标方应当在投标档中提供预验收（必要时）和终验收的标准以及规程；在合同签定之前，经投标方和招标方双方洽谈确认并签署，以作为验收标准执行。</w:t>
      </w:r>
    </w:p>
    <w:p w14:paraId="1A6E2B89">
      <w:pPr>
        <w:rPr>
          <w:sz w:val="24"/>
          <w:szCs w:val="24"/>
        </w:rPr>
      </w:pPr>
      <w:r>
        <w:rPr>
          <w:sz w:val="24"/>
          <w:szCs w:val="24"/>
        </w:rPr>
        <w:t>第</w:t>
      </w:r>
      <w:r>
        <w:rPr>
          <w:rFonts w:hint="eastAsia"/>
          <w:sz w:val="24"/>
          <w:szCs w:val="24"/>
        </w:rPr>
        <w:t>七</w:t>
      </w:r>
      <w:r>
        <w:rPr>
          <w:sz w:val="24"/>
          <w:szCs w:val="24"/>
        </w:rPr>
        <w:t>章  其他要求及说明</w:t>
      </w:r>
    </w:p>
    <w:p w14:paraId="0EA9A059">
      <w:pPr>
        <w:rPr>
          <w:sz w:val="24"/>
          <w:szCs w:val="24"/>
        </w:rPr>
      </w:pPr>
      <w:r>
        <w:rPr>
          <w:rFonts w:hint="eastAsia"/>
          <w:sz w:val="24"/>
          <w:szCs w:val="24"/>
        </w:rPr>
        <w:t>一、要求</w:t>
      </w:r>
    </w:p>
    <w:p w14:paraId="5E434A50">
      <w:pPr>
        <w:rPr>
          <w:sz w:val="24"/>
          <w:szCs w:val="24"/>
        </w:rPr>
      </w:pPr>
      <w:r>
        <w:rPr>
          <w:rFonts w:hint="eastAsia"/>
          <w:sz w:val="24"/>
          <w:szCs w:val="24"/>
        </w:rPr>
        <w:t>为保证本技术标书所列采购货物的质量以及先进性、可靠性、经济性和实用性，要求投标方在投标档中，至少应具备以下资格证明档或资料：</w:t>
      </w:r>
    </w:p>
    <w:p w14:paraId="021393CC">
      <w:pPr>
        <w:rPr>
          <w:sz w:val="24"/>
          <w:szCs w:val="24"/>
        </w:rPr>
      </w:pPr>
      <w:r>
        <w:rPr>
          <w:rFonts w:hint="eastAsia"/>
          <w:sz w:val="24"/>
          <w:szCs w:val="24"/>
        </w:rPr>
        <w:t>1、投标方应是独立法人或得到法人授权的机构。应当在投标档中提供法人营业执照（复印件）、税务登记证以及组织机构代码证（国际供应商参考该要求提供有效证明档），并保证其真实性和有效性。</w:t>
      </w:r>
    </w:p>
    <w:p w14:paraId="6912D698">
      <w:pPr>
        <w:rPr>
          <w:rFonts w:ascii="Times New Roman" w:hAnsi="Times New Roman" w:cs="Times New Roman"/>
          <w:sz w:val="24"/>
          <w:szCs w:val="24"/>
        </w:rPr>
      </w:pPr>
      <w:r>
        <w:rPr>
          <w:rFonts w:hint="eastAsia"/>
          <w:sz w:val="24"/>
          <w:szCs w:val="24"/>
        </w:rPr>
        <w:t>2、必须附有：2021年1月1日以来同类产品的制造销售业绩（用户名单、联系方式），并附合同复印件。该同类项目业绩一览表必须如实填写，应全尽全；一览表最终的所有业绩合同总额汇总必填，此项很重要，数据将影响现场评标专家组对投标单位的业绩考评。若未提供相应业绩证明，根据技术标评分规则，将影响现场评标专家组对投标单位业绩判定打分。</w:t>
      </w:r>
    </w:p>
    <w:p w14:paraId="5D4E7D72">
      <w:pPr>
        <w:rPr>
          <w:sz w:val="24"/>
          <w:szCs w:val="24"/>
        </w:rPr>
      </w:pPr>
      <w:r>
        <w:rPr>
          <w:rFonts w:hint="eastAsia"/>
          <w:sz w:val="24"/>
          <w:szCs w:val="24"/>
        </w:rPr>
        <w:t>二、说明</w:t>
      </w:r>
    </w:p>
    <w:p w14:paraId="7F454F2D">
      <w:pPr>
        <w:rPr>
          <w:sz w:val="24"/>
          <w:szCs w:val="24"/>
        </w:rPr>
      </w:pPr>
      <w:r>
        <w:rPr>
          <w:sz w:val="24"/>
          <w:szCs w:val="24"/>
        </w:rPr>
        <w:t>1、投标方可以根据自身的技术、经验等优势以及对招标档和本技术标书的理解，写明对招标方所采购货物的优化方案或建议意见。投标方的这些努力，招标方表示感谢，并将有助于投标方优先胜出。</w:t>
      </w:r>
    </w:p>
    <w:p w14:paraId="60A636E9">
      <w:pPr>
        <w:rPr>
          <w:sz w:val="24"/>
          <w:szCs w:val="24"/>
        </w:rPr>
      </w:pPr>
      <w:r>
        <w:rPr>
          <w:sz w:val="24"/>
          <w:szCs w:val="24"/>
        </w:rPr>
        <w:t>2、即使有建议意见或建议方案，仍应依据招标档和本技术标书要求，编写符合要求的投标档。建议方案或建议意见，应以单独篇章或档，予以说明和报价。</w:t>
      </w:r>
    </w:p>
    <w:p w14:paraId="15739435">
      <w:pPr>
        <w:rPr>
          <w:sz w:val="24"/>
          <w:szCs w:val="24"/>
        </w:rPr>
      </w:pPr>
      <w:r>
        <w:rPr>
          <w:rFonts w:hint="eastAsia"/>
          <w:sz w:val="24"/>
          <w:szCs w:val="24"/>
        </w:rPr>
        <w:t>3</w:t>
      </w:r>
      <w:r>
        <w:rPr>
          <w:sz w:val="24"/>
          <w:szCs w:val="24"/>
        </w:rPr>
        <w:t>、招标档、投标档、答疑档、技术交流档、技术协议书等，在采购过程全部为有效档，如有差异，以对招标方最有利的条款为准。</w:t>
      </w:r>
    </w:p>
    <w:p w14:paraId="3BBE6E8D">
      <w:pPr>
        <w:rPr>
          <w:rFonts w:hint="eastAsia"/>
          <w:sz w:val="24"/>
          <w:szCs w:val="24"/>
        </w:rPr>
      </w:pPr>
      <w:r>
        <w:rPr>
          <w:rFonts w:hint="eastAsia"/>
          <w:sz w:val="24"/>
          <w:szCs w:val="24"/>
        </w:rPr>
        <w:t>4、为避免歧义，本技术标书涉及招投标环节的条款，均将潜在的卖方称为投标方、将买方称为招标方；定标后合同签署环节以及后续的合同执行环节条款，招标方称为买方、投标方中的中标方称为卖方。</w:t>
      </w:r>
      <w:bookmarkEnd w:id="0"/>
    </w:p>
    <w:p w14:paraId="156EA6FD">
      <w:pPr>
        <w:pStyle w:val="2"/>
        <w:rPr>
          <w:rFonts w:hint="eastAsia"/>
          <w:sz w:val="24"/>
          <w:szCs w:val="24"/>
        </w:rPr>
      </w:pPr>
    </w:p>
    <w:p w14:paraId="16998C91">
      <w:pPr>
        <w:pStyle w:val="2"/>
        <w:rPr>
          <w:rFonts w:hint="eastAsia"/>
          <w:sz w:val="24"/>
          <w:szCs w:val="24"/>
        </w:rPr>
      </w:pPr>
    </w:p>
    <w:p w14:paraId="054EF43E">
      <w:pPr>
        <w:pStyle w:val="2"/>
        <w:rPr>
          <w:rFonts w:hint="eastAsia"/>
          <w:sz w:val="24"/>
          <w:szCs w:val="24"/>
        </w:rPr>
      </w:pPr>
    </w:p>
    <w:p w14:paraId="3B5088EB">
      <w:pPr>
        <w:pStyle w:val="2"/>
        <w:rPr>
          <w:rFonts w:hint="eastAsia"/>
          <w:sz w:val="24"/>
          <w:szCs w:val="24"/>
        </w:rPr>
      </w:pPr>
    </w:p>
    <w:p w14:paraId="784FBB73">
      <w:pPr>
        <w:pStyle w:val="2"/>
        <w:rPr>
          <w:rFonts w:hint="eastAsia"/>
          <w:sz w:val="24"/>
          <w:szCs w:val="24"/>
        </w:rPr>
      </w:pPr>
    </w:p>
    <w:p w14:paraId="26381E9B">
      <w:pPr>
        <w:pStyle w:val="2"/>
        <w:rPr>
          <w:rFonts w:hint="eastAsia"/>
          <w:sz w:val="24"/>
          <w:szCs w:val="24"/>
        </w:rPr>
      </w:pPr>
      <w:r>
        <w:rPr>
          <w:rFonts w:hint="eastAsia" w:eastAsia="宋体"/>
          <w:b/>
          <w:bCs/>
          <w:sz w:val="24"/>
          <w:szCs w:val="28"/>
          <w:lang w:val="en-US" w:eastAsia="zh-CN"/>
        </w:rPr>
        <w:t>技</w:t>
      </w:r>
      <w:r>
        <w:rPr>
          <w:rFonts w:hint="eastAsia" w:eastAsia="宋体"/>
          <w:b/>
          <w:bCs/>
          <w:sz w:val="24"/>
          <w:szCs w:val="28"/>
          <w:highlight w:val="none"/>
          <w:lang w:val="en-US" w:eastAsia="zh-CN"/>
        </w:rPr>
        <w:t>术部分答疑人：杨冬冬         电话：13867413121</w:t>
      </w:r>
    </w:p>
    <w:sectPr>
      <w:headerReference r:id="rId7" w:type="first"/>
      <w:footerReference r:id="rId9" w:type="first"/>
      <w:headerReference r:id="rId6" w:type="default"/>
      <w:footerReference r:id="rId8" w:type="default"/>
      <w:pgSz w:w="11906" w:h="16838"/>
      <w:pgMar w:top="1588" w:right="1418" w:bottom="1134" w:left="1418" w:header="851" w:footer="992" w:gutter="0"/>
      <w:pgNumType w:fmt="numberInDash"/>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DejaVu Sans">
    <w:altName w:val="Segoe Print"/>
    <w:panose1 w:val="00000000000000000000"/>
    <w:charset w:val="00"/>
    <w:family w:val="auto"/>
    <w:pitch w:val="default"/>
    <w:sig w:usb0="00000000" w:usb1="00000000" w:usb2="0A246029" w:usb3="0400200C" w:csb0="600001FF" w:csb1="DFFF0000"/>
  </w:font>
  <w:font w:name="Noto Sans CJK SC">
    <w:altName w:val="宋体"/>
    <w:panose1 w:val="00000000000000000000"/>
    <w:charset w:val="86"/>
    <w:family w:val="auto"/>
    <w:pitch w:val="default"/>
    <w:sig w:usb0="00000000" w:usb1="00000000" w:usb2="00000016" w:usb3="00000000" w:csb0="602E0107"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1"/>
    <w:family w:val="roman"/>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55A1">
    <w:pPr>
      <w:pStyle w:val="23"/>
      <w:jc w:val="center"/>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829435" cy="165100"/>
              <wp:effectExtent l="0" t="0" r="0" b="0"/>
              <wp:wrapNone/>
              <wp:docPr id="1" name="文本框 2_0"/>
              <wp:cNvGraphicFramePr/>
              <a:graphic xmlns:a="http://schemas.openxmlformats.org/drawingml/2006/main">
                <a:graphicData uri="http://schemas.microsoft.com/office/word/2010/wordprocessingShape">
                  <wps:wsp>
                    <wps:cNvSpPr/>
                    <wps:spPr>
                      <a:xfrm>
                        <a:off x="0" y="0"/>
                        <a:ext cx="1828800" cy="164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D7951FD">
                          <w:pPr>
                            <w:pStyle w:val="139"/>
                            <w:snapToGrid w:val="0"/>
                            <w:jc w:val="center"/>
                            <w:rPr>
                              <w:sz w:val="18"/>
                            </w:rPr>
                          </w:pPr>
                          <w:r>
                            <w:rPr>
                              <w:color w:val="000000"/>
                              <w:sz w:val="21"/>
                              <w:szCs w:val="28"/>
                            </w:rPr>
                            <w:fldChar w:fldCharType="begin"/>
                          </w:r>
                          <w:r>
                            <w:rPr>
                              <w:color w:val="000000"/>
                              <w:sz w:val="21"/>
                              <w:szCs w:val="28"/>
                            </w:rPr>
                            <w:instrText xml:space="preserve">PAGE</w:instrText>
                          </w:r>
                          <w:r>
                            <w:rPr>
                              <w:color w:val="000000"/>
                              <w:sz w:val="21"/>
                              <w:szCs w:val="28"/>
                            </w:rPr>
                            <w:fldChar w:fldCharType="separate"/>
                          </w:r>
                          <w:r>
                            <w:rPr>
                              <w:rFonts w:eastAsia="宋体"/>
                              <w:color w:val="000000"/>
                              <w:sz w:val="21"/>
                              <w:szCs w:val="28"/>
                            </w:rPr>
                            <w:t>17</w:t>
                          </w:r>
                          <w:r>
                            <w:rPr>
                              <w:color w:val="000000"/>
                              <w:sz w:val="21"/>
                              <w:szCs w:val="28"/>
                            </w:rPr>
                            <w:fldChar w:fldCharType="end"/>
                          </w:r>
                        </w:p>
                      </w:txbxContent>
                    </wps:txbx>
                    <wps:bodyPr lIns="0" tIns="0" rIns="0" bIns="0">
                      <a:spAutoFit/>
                    </wps:bodyPr>
                  </wps:wsp>
                </a:graphicData>
              </a:graphic>
            </wp:anchor>
          </w:drawing>
        </mc:Choice>
        <mc:Fallback>
          <w:pict>
            <v:rect id="文本框 2_0" o:spid="_x0000_s1026" o:spt="1" style="position:absolute;left:0pt;margin-top:0.05pt;height:13pt;width:144.05pt;mso-position-horizontal:center;mso-position-horizontal-relative:margin;z-index:251659264;mso-width-relative:page;mso-height-relative:page;" filled="f" stroked="f" coordsize="21600,21600" o:allowincell="f" o:gfxdata="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Zgjr7TAAAABAEAAA8AAAAAAAAAAQAgAAAAIgAAAGRycy9kb3ducmV2LnhtbFBL&#10;AQIUABQAAAAIAIdO4kBeyVKnwgEAAIEDAAAOAAAAAAAAAAEAIAAAACIBAABkcnMvZTJvRG9jLnht&#10;bFBLBQYAAAAABgAGAFkBAABWBQAAAAA=&#10;">
              <v:fill on="f" focussize="0,0"/>
              <v:stroke on="f" weight="0.5pt"/>
              <v:imagedata o:title=""/>
              <o:lock v:ext="edit" aspectratio="f"/>
              <v:textbox inset="0mm,0mm,0mm,0mm" style="mso-fit-shape-to-text:t;">
                <w:txbxContent>
                  <w:p w14:paraId="3D7951FD">
                    <w:pPr>
                      <w:pStyle w:val="139"/>
                      <w:snapToGrid w:val="0"/>
                      <w:jc w:val="center"/>
                      <w:rPr>
                        <w:sz w:val="18"/>
                      </w:rPr>
                    </w:pPr>
                    <w:r>
                      <w:rPr>
                        <w:color w:val="000000"/>
                        <w:sz w:val="21"/>
                        <w:szCs w:val="28"/>
                      </w:rPr>
                      <w:fldChar w:fldCharType="begin"/>
                    </w:r>
                    <w:r>
                      <w:rPr>
                        <w:color w:val="000000"/>
                        <w:sz w:val="21"/>
                        <w:szCs w:val="28"/>
                      </w:rPr>
                      <w:instrText xml:space="preserve">PAGE</w:instrText>
                    </w:r>
                    <w:r>
                      <w:rPr>
                        <w:color w:val="000000"/>
                        <w:sz w:val="21"/>
                        <w:szCs w:val="28"/>
                      </w:rPr>
                      <w:fldChar w:fldCharType="separate"/>
                    </w:r>
                    <w:r>
                      <w:rPr>
                        <w:rFonts w:eastAsia="宋体"/>
                        <w:color w:val="000000"/>
                        <w:sz w:val="21"/>
                        <w:szCs w:val="28"/>
                      </w:rPr>
                      <w:t>17</w:t>
                    </w:r>
                    <w:r>
                      <w:rPr>
                        <w:color w:val="000000"/>
                        <w:sz w:val="21"/>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14A0">
    <w:pPr>
      <w:pStyle w:val="23"/>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829435" cy="165100"/>
              <wp:effectExtent l="0" t="0" r="0" b="0"/>
              <wp:wrapNone/>
              <wp:docPr id="11" name="文本框 2_0"/>
              <wp:cNvGraphicFramePr/>
              <a:graphic xmlns:a="http://schemas.openxmlformats.org/drawingml/2006/main">
                <a:graphicData uri="http://schemas.microsoft.com/office/word/2010/wordprocessingShape">
                  <wps:wsp>
                    <wps:cNvSpPr/>
                    <wps:spPr>
                      <a:xfrm>
                        <a:off x="0" y="0"/>
                        <a:ext cx="1828800" cy="164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6A95874A">
                          <w:pPr>
                            <w:pStyle w:val="139"/>
                            <w:rPr>
                              <w:sz w:val="18"/>
                            </w:rPr>
                          </w:pPr>
                          <w:r>
                            <w:fldChar w:fldCharType="begin"/>
                          </w:r>
                          <w:r>
                            <w:instrText xml:space="preserve">PAGE</w:instrText>
                          </w:r>
                          <w:r>
                            <w:fldChar w:fldCharType="separate"/>
                          </w:r>
                          <w:r>
                            <w:t>4</w:t>
                          </w:r>
                          <w:r>
                            <w:fldChar w:fldCharType="end"/>
                          </w:r>
                        </w:p>
                      </w:txbxContent>
                    </wps:txbx>
                    <wps:bodyPr lIns="0" tIns="0" rIns="0" bIns="0">
                      <a:spAutoFit/>
                    </wps:bodyPr>
                  </wps:wsp>
                </a:graphicData>
              </a:graphic>
            </wp:anchor>
          </w:drawing>
        </mc:Choice>
        <mc:Fallback>
          <w:pict>
            <v:rect id="文本框 2_0" o:spid="_x0000_s1026" o:spt="1" style="position:absolute;left:0pt;margin-top:0.05pt;height:13pt;width:144.05pt;mso-position-horizontal:center;mso-position-horizontal-relative:margin;z-index:251659264;mso-width-relative:page;mso-height-relative:page;" filled="f" stroked="f" coordsize="21600,21600" o:allowincell="f" o:gfxdata="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YI6+0wAAAAQBAAAPAAAAAAAAAAEAIAAAACIAAABkcnMvZG93bnJldi54bWxQ&#10;SwECFAAUAAAACACHTuJA8XO8ycMBAACCAwAADgAAAAAAAAABACAAAAAiAQAAZHJzL2Uyb0RvYy54&#10;bWxQSwUGAAAAAAYABgBZAQAAVwUAAAAA&#10;">
              <v:fill on="f" focussize="0,0"/>
              <v:stroke on="f" weight="0.5pt"/>
              <v:imagedata o:title=""/>
              <o:lock v:ext="edit" aspectratio="f"/>
              <v:textbox inset="0mm,0mm,0mm,0mm" style="mso-fit-shape-to-text:t;">
                <w:txbxContent>
                  <w:p w14:paraId="6A95874A">
                    <w:pPr>
                      <w:pStyle w:val="139"/>
                      <w:rPr>
                        <w:sz w:val="18"/>
                      </w:rPr>
                    </w:pPr>
                    <w:r>
                      <w:fldChar w:fldCharType="begin"/>
                    </w:r>
                    <w:r>
                      <w:instrText xml:space="preserve">PAGE</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6744">
    <w:pPr>
      <w:rPr>
        <w:rFonts w:ascii="等线" w:hAnsi="等线"/>
      </w:rPr>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635</wp:posOffset>
              </wp:positionV>
              <wp:extent cx="1829435" cy="165100"/>
              <wp:effectExtent l="0" t="0" r="0" b="0"/>
              <wp:wrapNone/>
              <wp:docPr id="93" name="文本框 75_2"/>
              <wp:cNvGraphicFramePr/>
              <a:graphic xmlns:a="http://schemas.openxmlformats.org/drawingml/2006/main">
                <a:graphicData uri="http://schemas.microsoft.com/office/word/2010/wordprocessingShape">
                  <wps:wsp>
                    <wps:cNvSpPr/>
                    <wps:spPr>
                      <a:xfrm>
                        <a:off x="0" y="0"/>
                        <a:ext cx="1828800" cy="164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DE74B24">
                          <w:pPr>
                            <w:pStyle w:val="23"/>
                          </w:pPr>
                          <w:r>
                            <w:fldChar w:fldCharType="begin"/>
                          </w:r>
                          <w:r>
                            <w:instrText xml:space="preserve">PAGE</w:instrText>
                          </w:r>
                          <w:r>
                            <w:fldChar w:fldCharType="separate"/>
                          </w:r>
                          <w:r>
                            <w:t>- 20 -</w:t>
                          </w:r>
                          <w:r>
                            <w:fldChar w:fldCharType="end"/>
                          </w:r>
                        </w:p>
                      </w:txbxContent>
                    </wps:txbx>
                    <wps:bodyPr lIns="0" tIns="0" rIns="0" bIns="0">
                      <a:spAutoFit/>
                    </wps:bodyPr>
                  </wps:wsp>
                </a:graphicData>
              </a:graphic>
            </wp:anchor>
          </w:drawing>
        </mc:Choice>
        <mc:Fallback>
          <w:pict>
            <v:rect id="文本框 75_2" o:spid="_x0000_s1026" o:spt="1" style="position:absolute;left:0pt;margin-top:0.05pt;height:13pt;width:144.05pt;mso-position-horizontal:center;mso-position-horizontal-relative:margin;z-index:251660288;mso-width-relative:page;mso-height-relative:page;" filled="f" stroked="f" coordsize="21600,21600" o:allowincell="f" o:gfxdata="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mCOvtMAAAAEAQAADwAAAAAAAAABACAAAAAiAAAAZHJzL2Rvd25yZXYu&#10;eG1sUEsBAhQAFAAAAAgAh07iQMZtiWLHAQAAgwMAAA4AAAAAAAAAAQAgAAAAIgEAAGRycy9lMm9E&#10;b2MueG1sUEsFBgAAAAAGAAYAWQEAAFsFAAAAAA==&#10;">
              <v:fill on="f" focussize="0,0"/>
              <v:stroke on="f" weight="0.5pt"/>
              <v:imagedata o:title=""/>
              <o:lock v:ext="edit" aspectratio="f"/>
              <v:textbox inset="0mm,0mm,0mm,0mm" style="mso-fit-shape-to-text:t;">
                <w:txbxContent>
                  <w:p w14:paraId="2DE74B24">
                    <w:pPr>
                      <w:pStyle w:val="23"/>
                    </w:pPr>
                    <w:r>
                      <w:fldChar w:fldCharType="begin"/>
                    </w:r>
                    <w:r>
                      <w:instrText xml:space="preserve">PAGE</w:instrText>
                    </w:r>
                    <w:r>
                      <w:fldChar w:fldCharType="separate"/>
                    </w:r>
                    <w:r>
                      <w:t>- 20 -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0362">
    <w:pPr>
      <w:pStyle w:val="23"/>
    </w:pPr>
    <w:r>
      <mc:AlternateContent>
        <mc:Choice Requires="wps">
          <w:drawing>
            <wp:anchor distT="0" distB="0" distL="0" distR="0" simplePos="0" relativeHeight="251661312" behindDoc="0" locked="0" layoutInCell="0" allowOverlap="1">
              <wp:simplePos x="0" y="0"/>
              <wp:positionH relativeFrom="margin">
                <wp:align>center</wp:align>
              </wp:positionH>
              <wp:positionV relativeFrom="paragraph">
                <wp:posOffset>635</wp:posOffset>
              </wp:positionV>
              <wp:extent cx="1829435" cy="165100"/>
              <wp:effectExtent l="0" t="0" r="0" b="0"/>
              <wp:wrapNone/>
              <wp:docPr id="95" name="文本框 92_2"/>
              <wp:cNvGraphicFramePr/>
              <a:graphic xmlns:a="http://schemas.openxmlformats.org/drawingml/2006/main">
                <a:graphicData uri="http://schemas.microsoft.com/office/word/2010/wordprocessingShape">
                  <wps:wsp>
                    <wps:cNvSpPr/>
                    <wps:spPr>
                      <a:xfrm>
                        <a:off x="0" y="0"/>
                        <a:ext cx="1828800" cy="164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06574D2">
                          <w:pPr>
                            <w:pStyle w:val="139"/>
                          </w:pPr>
                          <w:r>
                            <w:fldChar w:fldCharType="begin"/>
                          </w:r>
                          <w:r>
                            <w:instrText xml:space="preserve">PAGE</w:instrText>
                          </w:r>
                          <w:r>
                            <w:fldChar w:fldCharType="separate"/>
                          </w:r>
                          <w:r>
                            <w:t>- 5 -</w:t>
                          </w:r>
                          <w:r>
                            <w:fldChar w:fldCharType="end"/>
                          </w:r>
                        </w:p>
                      </w:txbxContent>
                    </wps:txbx>
                    <wps:bodyPr lIns="0" tIns="0" rIns="0" bIns="0">
                      <a:spAutoFit/>
                    </wps:bodyPr>
                  </wps:wsp>
                </a:graphicData>
              </a:graphic>
            </wp:anchor>
          </w:drawing>
        </mc:Choice>
        <mc:Fallback>
          <w:pict>
            <v:rect id="文本框 92_2" o:spid="_x0000_s1026" o:spt="1" style="position:absolute;left:0pt;margin-top:0.05pt;height:13pt;width:144.05pt;mso-position-horizontal:center;mso-position-horizontal-relative:margin;z-index:251661312;mso-width-relative:page;mso-height-relative:page;" filled="f" stroked="f" coordsize="21600,21600" o:allowincell="f" o:gfxdata="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Zgjr7TAAAABAEAAA8AAAAAAAAAAQAgAAAAIgAAAGRycy9kb3ducmV2Lnht&#10;bFBLAQIUABQAAAAIAIdO4kAdgq/2xQEAAIMDAAAOAAAAAAAAAAEAIAAAACIBAABkcnMvZTJvRG9j&#10;LnhtbFBLBQYAAAAABgAGAFkBAABZBQAAAAA=&#10;">
              <v:fill on="f" focussize="0,0"/>
              <v:stroke on="f" weight="0.5pt"/>
              <v:imagedata o:title=""/>
              <o:lock v:ext="edit" aspectratio="f"/>
              <v:textbox inset="0mm,0mm,0mm,0mm" style="mso-fit-shape-to-text:t;">
                <w:txbxContent>
                  <w:p w14:paraId="206574D2">
                    <w:pPr>
                      <w:pStyle w:val="139"/>
                    </w:pPr>
                    <w:r>
                      <w:fldChar w:fldCharType="begin"/>
                    </w:r>
                    <w:r>
                      <w:instrText xml:space="preserve">PAGE</w:instrText>
                    </w:r>
                    <w:r>
                      <w:fldChar w:fldCharType="separate"/>
                    </w:r>
                    <w:r>
                      <w:t>- 5 -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CFD7">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06EB">
    <w:pPr>
      <w:pStyle w:val="25"/>
    </w:pPr>
  </w:p>
  <w:p w14:paraId="578AB6D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BD2C">
    <w:pPr>
      <w:pStyle w:val="2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YTMyOGE4MDlmNzYwNzEwNzM5NjU4MTEzZGI2M2UifQ=="/>
    <w:docVar w:name="KSO_WPS_MARK_KEY" w:val="fe846fb3-363f-4307-9758-bc94f2b1f898"/>
  </w:docVars>
  <w:rsids>
    <w:rsidRoot w:val="00D30139"/>
    <w:rsid w:val="00020F2B"/>
    <w:rsid w:val="00024D83"/>
    <w:rsid w:val="000B0158"/>
    <w:rsid w:val="000C024B"/>
    <w:rsid w:val="000C0AE5"/>
    <w:rsid w:val="000C464A"/>
    <w:rsid w:val="000D714B"/>
    <w:rsid w:val="000F5DB8"/>
    <w:rsid w:val="001114B6"/>
    <w:rsid w:val="001170B8"/>
    <w:rsid w:val="001174FC"/>
    <w:rsid w:val="0013625F"/>
    <w:rsid w:val="0013737A"/>
    <w:rsid w:val="001503B7"/>
    <w:rsid w:val="001A23B6"/>
    <w:rsid w:val="001C3162"/>
    <w:rsid w:val="001C3F3E"/>
    <w:rsid w:val="001D3917"/>
    <w:rsid w:val="001D48E3"/>
    <w:rsid w:val="001E3533"/>
    <w:rsid w:val="001F73F4"/>
    <w:rsid w:val="0020219B"/>
    <w:rsid w:val="002145C3"/>
    <w:rsid w:val="00231D34"/>
    <w:rsid w:val="00246DA4"/>
    <w:rsid w:val="00260091"/>
    <w:rsid w:val="0027146D"/>
    <w:rsid w:val="0027705C"/>
    <w:rsid w:val="00277850"/>
    <w:rsid w:val="0028099F"/>
    <w:rsid w:val="0028280F"/>
    <w:rsid w:val="002B0937"/>
    <w:rsid w:val="002B2DF8"/>
    <w:rsid w:val="002B30FC"/>
    <w:rsid w:val="002C0751"/>
    <w:rsid w:val="002C61F7"/>
    <w:rsid w:val="002D4EAF"/>
    <w:rsid w:val="00300765"/>
    <w:rsid w:val="00350C56"/>
    <w:rsid w:val="0035726D"/>
    <w:rsid w:val="00363B54"/>
    <w:rsid w:val="00372AAF"/>
    <w:rsid w:val="0037674A"/>
    <w:rsid w:val="003A44B8"/>
    <w:rsid w:val="003A5872"/>
    <w:rsid w:val="003E03DC"/>
    <w:rsid w:val="003E3355"/>
    <w:rsid w:val="003F7DB1"/>
    <w:rsid w:val="00402663"/>
    <w:rsid w:val="0041548E"/>
    <w:rsid w:val="00417345"/>
    <w:rsid w:val="0048598E"/>
    <w:rsid w:val="004944A4"/>
    <w:rsid w:val="004A16B8"/>
    <w:rsid w:val="004A24DC"/>
    <w:rsid w:val="004B020E"/>
    <w:rsid w:val="004B5506"/>
    <w:rsid w:val="004D2BAC"/>
    <w:rsid w:val="004F0729"/>
    <w:rsid w:val="004F3F87"/>
    <w:rsid w:val="0052665F"/>
    <w:rsid w:val="00535A9F"/>
    <w:rsid w:val="00571026"/>
    <w:rsid w:val="0057145A"/>
    <w:rsid w:val="00584259"/>
    <w:rsid w:val="005863B0"/>
    <w:rsid w:val="005A6AB8"/>
    <w:rsid w:val="005D1281"/>
    <w:rsid w:val="005D13E7"/>
    <w:rsid w:val="005D7706"/>
    <w:rsid w:val="005E0B1A"/>
    <w:rsid w:val="005E5E42"/>
    <w:rsid w:val="00601EDC"/>
    <w:rsid w:val="00606D9D"/>
    <w:rsid w:val="00610A1B"/>
    <w:rsid w:val="006275D6"/>
    <w:rsid w:val="006605FC"/>
    <w:rsid w:val="006632D6"/>
    <w:rsid w:val="00693A5D"/>
    <w:rsid w:val="006A7093"/>
    <w:rsid w:val="006B45C3"/>
    <w:rsid w:val="006F11A5"/>
    <w:rsid w:val="00741D1D"/>
    <w:rsid w:val="00751A4D"/>
    <w:rsid w:val="0075423B"/>
    <w:rsid w:val="007853B0"/>
    <w:rsid w:val="007A4EE7"/>
    <w:rsid w:val="007B0CCF"/>
    <w:rsid w:val="007E1B0E"/>
    <w:rsid w:val="007E5FF1"/>
    <w:rsid w:val="008302C1"/>
    <w:rsid w:val="00831834"/>
    <w:rsid w:val="00834BCA"/>
    <w:rsid w:val="0088269E"/>
    <w:rsid w:val="008869D6"/>
    <w:rsid w:val="00894BCB"/>
    <w:rsid w:val="008D19E5"/>
    <w:rsid w:val="00927DFA"/>
    <w:rsid w:val="009705E6"/>
    <w:rsid w:val="00985ABA"/>
    <w:rsid w:val="0099346C"/>
    <w:rsid w:val="009C1662"/>
    <w:rsid w:val="009C50E1"/>
    <w:rsid w:val="009E7CEF"/>
    <w:rsid w:val="009F0D18"/>
    <w:rsid w:val="009F1CA9"/>
    <w:rsid w:val="009F5378"/>
    <w:rsid w:val="00A01B00"/>
    <w:rsid w:val="00A10E37"/>
    <w:rsid w:val="00A4280D"/>
    <w:rsid w:val="00A84585"/>
    <w:rsid w:val="00AB0635"/>
    <w:rsid w:val="00AD09D4"/>
    <w:rsid w:val="00AD612F"/>
    <w:rsid w:val="00AE3CB2"/>
    <w:rsid w:val="00AE4E5E"/>
    <w:rsid w:val="00B201E4"/>
    <w:rsid w:val="00B31CF3"/>
    <w:rsid w:val="00B31FEA"/>
    <w:rsid w:val="00B41848"/>
    <w:rsid w:val="00B45D74"/>
    <w:rsid w:val="00B96CA4"/>
    <w:rsid w:val="00B9783C"/>
    <w:rsid w:val="00C02486"/>
    <w:rsid w:val="00C1610B"/>
    <w:rsid w:val="00C21BBD"/>
    <w:rsid w:val="00C258C5"/>
    <w:rsid w:val="00C44CA3"/>
    <w:rsid w:val="00C47756"/>
    <w:rsid w:val="00C61F45"/>
    <w:rsid w:val="00C64990"/>
    <w:rsid w:val="00C66041"/>
    <w:rsid w:val="00C7536E"/>
    <w:rsid w:val="00CA5DE7"/>
    <w:rsid w:val="00CC165C"/>
    <w:rsid w:val="00CC66D6"/>
    <w:rsid w:val="00CD0561"/>
    <w:rsid w:val="00CD4BCC"/>
    <w:rsid w:val="00D20603"/>
    <w:rsid w:val="00D30139"/>
    <w:rsid w:val="00D637B7"/>
    <w:rsid w:val="00D8728D"/>
    <w:rsid w:val="00D956DC"/>
    <w:rsid w:val="00DA5204"/>
    <w:rsid w:val="00DB26AA"/>
    <w:rsid w:val="00DB26C1"/>
    <w:rsid w:val="00DB37E6"/>
    <w:rsid w:val="00DC1F67"/>
    <w:rsid w:val="00DC3829"/>
    <w:rsid w:val="00DC7C1D"/>
    <w:rsid w:val="00DE596B"/>
    <w:rsid w:val="00E05F95"/>
    <w:rsid w:val="00E15DD0"/>
    <w:rsid w:val="00E15FF9"/>
    <w:rsid w:val="00E46AD2"/>
    <w:rsid w:val="00E50B80"/>
    <w:rsid w:val="00E730C5"/>
    <w:rsid w:val="00E77387"/>
    <w:rsid w:val="00EC08D7"/>
    <w:rsid w:val="00EF1D2F"/>
    <w:rsid w:val="00F05B55"/>
    <w:rsid w:val="00F074E4"/>
    <w:rsid w:val="00F2470B"/>
    <w:rsid w:val="00F25506"/>
    <w:rsid w:val="00F33880"/>
    <w:rsid w:val="00F66A48"/>
    <w:rsid w:val="00FC66FE"/>
    <w:rsid w:val="00FD169D"/>
    <w:rsid w:val="00FE3CD2"/>
    <w:rsid w:val="010D7DD7"/>
    <w:rsid w:val="01170C55"/>
    <w:rsid w:val="012B7BEA"/>
    <w:rsid w:val="01371E89"/>
    <w:rsid w:val="013D501C"/>
    <w:rsid w:val="0179546C"/>
    <w:rsid w:val="017B7436"/>
    <w:rsid w:val="01CF7782"/>
    <w:rsid w:val="01D34903"/>
    <w:rsid w:val="023A4C55"/>
    <w:rsid w:val="02511F45"/>
    <w:rsid w:val="0371289F"/>
    <w:rsid w:val="038B3937"/>
    <w:rsid w:val="03C52F1A"/>
    <w:rsid w:val="040F4623"/>
    <w:rsid w:val="044163B3"/>
    <w:rsid w:val="04DE21B6"/>
    <w:rsid w:val="04E51C95"/>
    <w:rsid w:val="05676974"/>
    <w:rsid w:val="05EC26B0"/>
    <w:rsid w:val="066A3110"/>
    <w:rsid w:val="067803E8"/>
    <w:rsid w:val="067A45A5"/>
    <w:rsid w:val="06A77F8C"/>
    <w:rsid w:val="06EB0BBA"/>
    <w:rsid w:val="071023CF"/>
    <w:rsid w:val="071D4AEC"/>
    <w:rsid w:val="072B052C"/>
    <w:rsid w:val="07470275"/>
    <w:rsid w:val="07552626"/>
    <w:rsid w:val="079F6AE2"/>
    <w:rsid w:val="07AE50AB"/>
    <w:rsid w:val="07C02047"/>
    <w:rsid w:val="07E31891"/>
    <w:rsid w:val="084B781B"/>
    <w:rsid w:val="08674731"/>
    <w:rsid w:val="08840A76"/>
    <w:rsid w:val="089555FD"/>
    <w:rsid w:val="08A31B20"/>
    <w:rsid w:val="08D12032"/>
    <w:rsid w:val="08F301FA"/>
    <w:rsid w:val="098175B4"/>
    <w:rsid w:val="09BE25B6"/>
    <w:rsid w:val="0A2543E3"/>
    <w:rsid w:val="0A692DA2"/>
    <w:rsid w:val="0A7F6606"/>
    <w:rsid w:val="0A985EDF"/>
    <w:rsid w:val="0B5D29A1"/>
    <w:rsid w:val="0B7471EA"/>
    <w:rsid w:val="0BB9535D"/>
    <w:rsid w:val="0BEC0413"/>
    <w:rsid w:val="0BF91683"/>
    <w:rsid w:val="0C1E733C"/>
    <w:rsid w:val="0C395F24"/>
    <w:rsid w:val="0C5C1C12"/>
    <w:rsid w:val="0C6805B7"/>
    <w:rsid w:val="0C6A568B"/>
    <w:rsid w:val="0CC057AF"/>
    <w:rsid w:val="0CE27EE0"/>
    <w:rsid w:val="0D330BC5"/>
    <w:rsid w:val="0D4224E0"/>
    <w:rsid w:val="0D4A5E8C"/>
    <w:rsid w:val="0D927FE1"/>
    <w:rsid w:val="0DA25129"/>
    <w:rsid w:val="0DB853E2"/>
    <w:rsid w:val="0DEF4AA1"/>
    <w:rsid w:val="0E060087"/>
    <w:rsid w:val="0E2D7D0A"/>
    <w:rsid w:val="0E8518F4"/>
    <w:rsid w:val="0E8D2557"/>
    <w:rsid w:val="0EB96B98"/>
    <w:rsid w:val="0EC73137"/>
    <w:rsid w:val="0F281170"/>
    <w:rsid w:val="0F470958"/>
    <w:rsid w:val="0F8A2F6F"/>
    <w:rsid w:val="0FA1450C"/>
    <w:rsid w:val="0FD6408A"/>
    <w:rsid w:val="0FEA282E"/>
    <w:rsid w:val="10735D19"/>
    <w:rsid w:val="107F2670"/>
    <w:rsid w:val="10A66DCB"/>
    <w:rsid w:val="10B62239"/>
    <w:rsid w:val="10C32403"/>
    <w:rsid w:val="11145FEB"/>
    <w:rsid w:val="111D0761"/>
    <w:rsid w:val="113B0990"/>
    <w:rsid w:val="117D4B05"/>
    <w:rsid w:val="11867E5D"/>
    <w:rsid w:val="11CE7F85"/>
    <w:rsid w:val="11E90706"/>
    <w:rsid w:val="12097FE9"/>
    <w:rsid w:val="12170AB5"/>
    <w:rsid w:val="1247062C"/>
    <w:rsid w:val="126B26FB"/>
    <w:rsid w:val="12704669"/>
    <w:rsid w:val="12A22DAA"/>
    <w:rsid w:val="12DC3AAD"/>
    <w:rsid w:val="130F3E82"/>
    <w:rsid w:val="1377447A"/>
    <w:rsid w:val="13960100"/>
    <w:rsid w:val="139B74C4"/>
    <w:rsid w:val="13B658D7"/>
    <w:rsid w:val="13D97F0D"/>
    <w:rsid w:val="140B289C"/>
    <w:rsid w:val="14304CEF"/>
    <w:rsid w:val="14AB1989"/>
    <w:rsid w:val="14BC5944"/>
    <w:rsid w:val="14E530ED"/>
    <w:rsid w:val="14ED4E3D"/>
    <w:rsid w:val="15361FA3"/>
    <w:rsid w:val="15394ADF"/>
    <w:rsid w:val="156234F8"/>
    <w:rsid w:val="15912BD7"/>
    <w:rsid w:val="162163A6"/>
    <w:rsid w:val="16563E13"/>
    <w:rsid w:val="16D677E3"/>
    <w:rsid w:val="17147CB9"/>
    <w:rsid w:val="176B1D6D"/>
    <w:rsid w:val="178001C1"/>
    <w:rsid w:val="178A1D29"/>
    <w:rsid w:val="17996410"/>
    <w:rsid w:val="17F614A8"/>
    <w:rsid w:val="180F534D"/>
    <w:rsid w:val="18471533"/>
    <w:rsid w:val="186404DF"/>
    <w:rsid w:val="1882653B"/>
    <w:rsid w:val="189C07CD"/>
    <w:rsid w:val="18CB25F9"/>
    <w:rsid w:val="1912394D"/>
    <w:rsid w:val="194B4A92"/>
    <w:rsid w:val="1979448E"/>
    <w:rsid w:val="19865B4D"/>
    <w:rsid w:val="198E25D5"/>
    <w:rsid w:val="19B65058"/>
    <w:rsid w:val="19F422B0"/>
    <w:rsid w:val="19FB0CBC"/>
    <w:rsid w:val="1A39657D"/>
    <w:rsid w:val="1A6A7BF0"/>
    <w:rsid w:val="1ABF23C4"/>
    <w:rsid w:val="1AF56FA4"/>
    <w:rsid w:val="1AF60780"/>
    <w:rsid w:val="1AF75928"/>
    <w:rsid w:val="1B004B07"/>
    <w:rsid w:val="1B2D2CE5"/>
    <w:rsid w:val="1B414DF5"/>
    <w:rsid w:val="1B4D19EC"/>
    <w:rsid w:val="1B4E722E"/>
    <w:rsid w:val="1C0D4CD7"/>
    <w:rsid w:val="1C234AE6"/>
    <w:rsid w:val="1C4F3541"/>
    <w:rsid w:val="1C603A4B"/>
    <w:rsid w:val="1C9F1DD3"/>
    <w:rsid w:val="1CE43C8A"/>
    <w:rsid w:val="1CF540E9"/>
    <w:rsid w:val="1D6923CE"/>
    <w:rsid w:val="1DA578BD"/>
    <w:rsid w:val="1DBA3729"/>
    <w:rsid w:val="1DD8302E"/>
    <w:rsid w:val="1E707ECB"/>
    <w:rsid w:val="1E732A03"/>
    <w:rsid w:val="1F015BE8"/>
    <w:rsid w:val="1F50309A"/>
    <w:rsid w:val="1F824A45"/>
    <w:rsid w:val="1FB931AC"/>
    <w:rsid w:val="1FEC3E85"/>
    <w:rsid w:val="20580C17"/>
    <w:rsid w:val="20983709"/>
    <w:rsid w:val="20D443A6"/>
    <w:rsid w:val="20D858B3"/>
    <w:rsid w:val="20DF30E6"/>
    <w:rsid w:val="210668C5"/>
    <w:rsid w:val="211D2ED8"/>
    <w:rsid w:val="2172726B"/>
    <w:rsid w:val="217650FF"/>
    <w:rsid w:val="218B0B78"/>
    <w:rsid w:val="218E25A7"/>
    <w:rsid w:val="21B509BB"/>
    <w:rsid w:val="222B72CC"/>
    <w:rsid w:val="2237485C"/>
    <w:rsid w:val="22793142"/>
    <w:rsid w:val="22AF729F"/>
    <w:rsid w:val="22ED2142"/>
    <w:rsid w:val="22FD3CD9"/>
    <w:rsid w:val="23146088"/>
    <w:rsid w:val="23312A20"/>
    <w:rsid w:val="235C0A1E"/>
    <w:rsid w:val="236C5C8D"/>
    <w:rsid w:val="240F67B4"/>
    <w:rsid w:val="242D04F4"/>
    <w:rsid w:val="246C51B7"/>
    <w:rsid w:val="246C63AE"/>
    <w:rsid w:val="24FD5F3F"/>
    <w:rsid w:val="25341526"/>
    <w:rsid w:val="254F010E"/>
    <w:rsid w:val="25733DFD"/>
    <w:rsid w:val="25CA73C4"/>
    <w:rsid w:val="25FA498E"/>
    <w:rsid w:val="261A696E"/>
    <w:rsid w:val="2633160E"/>
    <w:rsid w:val="264D3A61"/>
    <w:rsid w:val="2672272D"/>
    <w:rsid w:val="26AD4FC5"/>
    <w:rsid w:val="26BB1632"/>
    <w:rsid w:val="27042C3A"/>
    <w:rsid w:val="273F48DE"/>
    <w:rsid w:val="275B2D9A"/>
    <w:rsid w:val="2772720D"/>
    <w:rsid w:val="27975A17"/>
    <w:rsid w:val="27CE7A10"/>
    <w:rsid w:val="27DA63B5"/>
    <w:rsid w:val="27FF406E"/>
    <w:rsid w:val="28101DD7"/>
    <w:rsid w:val="28CB1A67"/>
    <w:rsid w:val="29211DC2"/>
    <w:rsid w:val="295C3415"/>
    <w:rsid w:val="29A473B4"/>
    <w:rsid w:val="2A273408"/>
    <w:rsid w:val="2A375D41"/>
    <w:rsid w:val="2A767767"/>
    <w:rsid w:val="2A7C3754"/>
    <w:rsid w:val="2AA333D6"/>
    <w:rsid w:val="2AE6070B"/>
    <w:rsid w:val="2B0507DE"/>
    <w:rsid w:val="2B4029D3"/>
    <w:rsid w:val="2B445DF6"/>
    <w:rsid w:val="2BBE1B4A"/>
    <w:rsid w:val="2C524910"/>
    <w:rsid w:val="2C553BEB"/>
    <w:rsid w:val="2C5C1A8E"/>
    <w:rsid w:val="2C656F25"/>
    <w:rsid w:val="2C792640"/>
    <w:rsid w:val="2C793392"/>
    <w:rsid w:val="2C942F95"/>
    <w:rsid w:val="2D3B78F6"/>
    <w:rsid w:val="2D4023E1"/>
    <w:rsid w:val="2D4E7F5A"/>
    <w:rsid w:val="2D925870"/>
    <w:rsid w:val="2D9D410D"/>
    <w:rsid w:val="2DBA2FCF"/>
    <w:rsid w:val="2DD67732"/>
    <w:rsid w:val="2E0925B3"/>
    <w:rsid w:val="2E524093"/>
    <w:rsid w:val="2E587438"/>
    <w:rsid w:val="2E6F07E6"/>
    <w:rsid w:val="2E943BD6"/>
    <w:rsid w:val="2EB37F61"/>
    <w:rsid w:val="2F246257"/>
    <w:rsid w:val="2F7155C8"/>
    <w:rsid w:val="2F745341"/>
    <w:rsid w:val="2FEC0156"/>
    <w:rsid w:val="2FF40230"/>
    <w:rsid w:val="3019022C"/>
    <w:rsid w:val="30313232"/>
    <w:rsid w:val="30890978"/>
    <w:rsid w:val="30907F59"/>
    <w:rsid w:val="30AA08EF"/>
    <w:rsid w:val="311961A0"/>
    <w:rsid w:val="313B6CE2"/>
    <w:rsid w:val="314157A2"/>
    <w:rsid w:val="31833619"/>
    <w:rsid w:val="31A71047"/>
    <w:rsid w:val="31DD0182"/>
    <w:rsid w:val="31E16592"/>
    <w:rsid w:val="32055E6E"/>
    <w:rsid w:val="323A056C"/>
    <w:rsid w:val="324E6731"/>
    <w:rsid w:val="32876F04"/>
    <w:rsid w:val="33217CC6"/>
    <w:rsid w:val="33246036"/>
    <w:rsid w:val="335E60EC"/>
    <w:rsid w:val="33FD5315"/>
    <w:rsid w:val="34377469"/>
    <w:rsid w:val="345968B4"/>
    <w:rsid w:val="347D2504"/>
    <w:rsid w:val="34A27A18"/>
    <w:rsid w:val="34CA707C"/>
    <w:rsid w:val="35076310"/>
    <w:rsid w:val="3509652C"/>
    <w:rsid w:val="350B22A4"/>
    <w:rsid w:val="353B4715"/>
    <w:rsid w:val="35487054"/>
    <w:rsid w:val="357A4D33"/>
    <w:rsid w:val="35941EE4"/>
    <w:rsid w:val="3614452E"/>
    <w:rsid w:val="365075ED"/>
    <w:rsid w:val="366C4FC4"/>
    <w:rsid w:val="36AB46A8"/>
    <w:rsid w:val="36CE3589"/>
    <w:rsid w:val="374567D3"/>
    <w:rsid w:val="37500442"/>
    <w:rsid w:val="379F6CD3"/>
    <w:rsid w:val="37E07842"/>
    <w:rsid w:val="37F54B45"/>
    <w:rsid w:val="384D3002"/>
    <w:rsid w:val="386C3059"/>
    <w:rsid w:val="387839C2"/>
    <w:rsid w:val="38892362"/>
    <w:rsid w:val="394C4C39"/>
    <w:rsid w:val="39603510"/>
    <w:rsid w:val="397B6D1F"/>
    <w:rsid w:val="39B83A3C"/>
    <w:rsid w:val="39C91F9E"/>
    <w:rsid w:val="39D013C6"/>
    <w:rsid w:val="39D0711B"/>
    <w:rsid w:val="39DA2245"/>
    <w:rsid w:val="39DC420F"/>
    <w:rsid w:val="3A175247"/>
    <w:rsid w:val="3A43428E"/>
    <w:rsid w:val="3A4E20A3"/>
    <w:rsid w:val="3A53023B"/>
    <w:rsid w:val="3AE07D2F"/>
    <w:rsid w:val="3AEB20E5"/>
    <w:rsid w:val="3AF1423A"/>
    <w:rsid w:val="3B6AB5C3"/>
    <w:rsid w:val="3B6C24D0"/>
    <w:rsid w:val="3B7235DF"/>
    <w:rsid w:val="3BB23479"/>
    <w:rsid w:val="3BC62A80"/>
    <w:rsid w:val="3C343B6B"/>
    <w:rsid w:val="3C366B11"/>
    <w:rsid w:val="3C6978B0"/>
    <w:rsid w:val="3C83202D"/>
    <w:rsid w:val="3C8841DA"/>
    <w:rsid w:val="3C923CDD"/>
    <w:rsid w:val="3CA553D5"/>
    <w:rsid w:val="3CFF178B"/>
    <w:rsid w:val="3D2A69F0"/>
    <w:rsid w:val="3D37175C"/>
    <w:rsid w:val="3D453E79"/>
    <w:rsid w:val="3D5140C2"/>
    <w:rsid w:val="3D5D5666"/>
    <w:rsid w:val="3DB46E44"/>
    <w:rsid w:val="3DC254CA"/>
    <w:rsid w:val="3DED204D"/>
    <w:rsid w:val="3E0930F8"/>
    <w:rsid w:val="3E6D7B2B"/>
    <w:rsid w:val="3F283A52"/>
    <w:rsid w:val="3F32042D"/>
    <w:rsid w:val="3F330966"/>
    <w:rsid w:val="3F5D194E"/>
    <w:rsid w:val="3F8C2250"/>
    <w:rsid w:val="3F942E96"/>
    <w:rsid w:val="3FAE3F57"/>
    <w:rsid w:val="3FD87226"/>
    <w:rsid w:val="3FDA5143"/>
    <w:rsid w:val="400C54DE"/>
    <w:rsid w:val="400C6ED0"/>
    <w:rsid w:val="40512D68"/>
    <w:rsid w:val="40C003E6"/>
    <w:rsid w:val="40CD48B1"/>
    <w:rsid w:val="40E1210B"/>
    <w:rsid w:val="40F954CC"/>
    <w:rsid w:val="410A3B94"/>
    <w:rsid w:val="41111386"/>
    <w:rsid w:val="412C782A"/>
    <w:rsid w:val="41597EF3"/>
    <w:rsid w:val="42220C2D"/>
    <w:rsid w:val="425012F6"/>
    <w:rsid w:val="428135EE"/>
    <w:rsid w:val="42887837"/>
    <w:rsid w:val="42B63FD3"/>
    <w:rsid w:val="42B86E9B"/>
    <w:rsid w:val="42E46FD0"/>
    <w:rsid w:val="430F68C7"/>
    <w:rsid w:val="43634022"/>
    <w:rsid w:val="43657023"/>
    <w:rsid w:val="43AA31BB"/>
    <w:rsid w:val="43C15C8A"/>
    <w:rsid w:val="43FE086D"/>
    <w:rsid w:val="440028DC"/>
    <w:rsid w:val="445C47A6"/>
    <w:rsid w:val="44F56185"/>
    <w:rsid w:val="4528655A"/>
    <w:rsid w:val="453273D9"/>
    <w:rsid w:val="45AD2F03"/>
    <w:rsid w:val="45AD6A5F"/>
    <w:rsid w:val="4633585C"/>
    <w:rsid w:val="468E6D5F"/>
    <w:rsid w:val="469F0A9E"/>
    <w:rsid w:val="46A165C4"/>
    <w:rsid w:val="46E22739"/>
    <w:rsid w:val="46F34946"/>
    <w:rsid w:val="470E1780"/>
    <w:rsid w:val="472B07AB"/>
    <w:rsid w:val="47451645"/>
    <w:rsid w:val="476A10AC"/>
    <w:rsid w:val="47A42ED4"/>
    <w:rsid w:val="47E33174"/>
    <w:rsid w:val="47F16ACD"/>
    <w:rsid w:val="48324CCC"/>
    <w:rsid w:val="488C6E00"/>
    <w:rsid w:val="489A151D"/>
    <w:rsid w:val="48BA065B"/>
    <w:rsid w:val="48E00EFA"/>
    <w:rsid w:val="48E0229A"/>
    <w:rsid w:val="4908149D"/>
    <w:rsid w:val="4921579A"/>
    <w:rsid w:val="497D499A"/>
    <w:rsid w:val="49984BB7"/>
    <w:rsid w:val="49E1317B"/>
    <w:rsid w:val="4A0C6657"/>
    <w:rsid w:val="4A2512BA"/>
    <w:rsid w:val="4AD30D16"/>
    <w:rsid w:val="4ADC327B"/>
    <w:rsid w:val="4B6E4EE3"/>
    <w:rsid w:val="4BBA74A8"/>
    <w:rsid w:val="4BD31332"/>
    <w:rsid w:val="4C6360CA"/>
    <w:rsid w:val="4C6836E0"/>
    <w:rsid w:val="4CC62492"/>
    <w:rsid w:val="4CC81A5D"/>
    <w:rsid w:val="4CDB0356"/>
    <w:rsid w:val="4CEA0599"/>
    <w:rsid w:val="4D1F6494"/>
    <w:rsid w:val="4D365A25"/>
    <w:rsid w:val="4D7A191D"/>
    <w:rsid w:val="4DE638C5"/>
    <w:rsid w:val="4DFA0CB0"/>
    <w:rsid w:val="4EFF0292"/>
    <w:rsid w:val="4F133DD7"/>
    <w:rsid w:val="4F310701"/>
    <w:rsid w:val="4FB438E8"/>
    <w:rsid w:val="4FDC74D0"/>
    <w:rsid w:val="4FE87012"/>
    <w:rsid w:val="505521CD"/>
    <w:rsid w:val="506B2AEC"/>
    <w:rsid w:val="509E1DC6"/>
    <w:rsid w:val="50CC19FF"/>
    <w:rsid w:val="51013961"/>
    <w:rsid w:val="5107241E"/>
    <w:rsid w:val="511E58D1"/>
    <w:rsid w:val="51383198"/>
    <w:rsid w:val="5151478A"/>
    <w:rsid w:val="515F2140"/>
    <w:rsid w:val="515F30E3"/>
    <w:rsid w:val="516C3C72"/>
    <w:rsid w:val="51960CEF"/>
    <w:rsid w:val="51C37353"/>
    <w:rsid w:val="52125046"/>
    <w:rsid w:val="52B07F48"/>
    <w:rsid w:val="52B94123"/>
    <w:rsid w:val="52BB6C5F"/>
    <w:rsid w:val="52BE544C"/>
    <w:rsid w:val="530D3E3F"/>
    <w:rsid w:val="532729ED"/>
    <w:rsid w:val="53425BFF"/>
    <w:rsid w:val="53E75832"/>
    <w:rsid w:val="53EE6BC1"/>
    <w:rsid w:val="540C27A0"/>
    <w:rsid w:val="545C437B"/>
    <w:rsid w:val="54F06DE9"/>
    <w:rsid w:val="54F20DCE"/>
    <w:rsid w:val="55894DF3"/>
    <w:rsid w:val="559A7000"/>
    <w:rsid w:val="55DF35A0"/>
    <w:rsid w:val="563B0413"/>
    <w:rsid w:val="568B6949"/>
    <w:rsid w:val="56A619D5"/>
    <w:rsid w:val="56D7263C"/>
    <w:rsid w:val="56E12B74"/>
    <w:rsid w:val="56E72901"/>
    <w:rsid w:val="56EE0C86"/>
    <w:rsid w:val="57654230"/>
    <w:rsid w:val="57710A1E"/>
    <w:rsid w:val="578810DA"/>
    <w:rsid w:val="57AA72A2"/>
    <w:rsid w:val="57AF0129"/>
    <w:rsid w:val="57B21375"/>
    <w:rsid w:val="57BD5228"/>
    <w:rsid w:val="57CE2F91"/>
    <w:rsid w:val="5803005A"/>
    <w:rsid w:val="581A49D7"/>
    <w:rsid w:val="58240E03"/>
    <w:rsid w:val="584D65AC"/>
    <w:rsid w:val="58B10512"/>
    <w:rsid w:val="59011144"/>
    <w:rsid w:val="59966CB1"/>
    <w:rsid w:val="59C608E4"/>
    <w:rsid w:val="59FE2357"/>
    <w:rsid w:val="5A5A7085"/>
    <w:rsid w:val="5A6C083F"/>
    <w:rsid w:val="5AB0285D"/>
    <w:rsid w:val="5AC73CC7"/>
    <w:rsid w:val="5B102666"/>
    <w:rsid w:val="5B5E3292"/>
    <w:rsid w:val="5B7163FA"/>
    <w:rsid w:val="5B793214"/>
    <w:rsid w:val="5B810932"/>
    <w:rsid w:val="5B912D9E"/>
    <w:rsid w:val="5BA32ED4"/>
    <w:rsid w:val="5C467452"/>
    <w:rsid w:val="5C4A2E02"/>
    <w:rsid w:val="5C732359"/>
    <w:rsid w:val="5C8271B2"/>
    <w:rsid w:val="5CEE5E83"/>
    <w:rsid w:val="5CF039A9"/>
    <w:rsid w:val="5D6B2D4E"/>
    <w:rsid w:val="5D9E51B4"/>
    <w:rsid w:val="5DFB3886"/>
    <w:rsid w:val="5E323B4E"/>
    <w:rsid w:val="5E5F0DE7"/>
    <w:rsid w:val="5E6F7288"/>
    <w:rsid w:val="5E7365F1"/>
    <w:rsid w:val="5EA20CD3"/>
    <w:rsid w:val="5EAE1426"/>
    <w:rsid w:val="5EBD382E"/>
    <w:rsid w:val="5EC07A13"/>
    <w:rsid w:val="5F9E63C9"/>
    <w:rsid w:val="5FA40A7B"/>
    <w:rsid w:val="5FAD6589"/>
    <w:rsid w:val="5FD80E37"/>
    <w:rsid w:val="5FE5531C"/>
    <w:rsid w:val="5FEDC158"/>
    <w:rsid w:val="60097D62"/>
    <w:rsid w:val="604F4E8B"/>
    <w:rsid w:val="61007F33"/>
    <w:rsid w:val="610A4290"/>
    <w:rsid w:val="613E7274"/>
    <w:rsid w:val="6142054C"/>
    <w:rsid w:val="61774699"/>
    <w:rsid w:val="61DA0784"/>
    <w:rsid w:val="61E15E5A"/>
    <w:rsid w:val="61F01D56"/>
    <w:rsid w:val="62010C00"/>
    <w:rsid w:val="6219690E"/>
    <w:rsid w:val="622D40F1"/>
    <w:rsid w:val="62375BD7"/>
    <w:rsid w:val="62422518"/>
    <w:rsid w:val="62483940"/>
    <w:rsid w:val="626479E5"/>
    <w:rsid w:val="62A33511"/>
    <w:rsid w:val="62BF00A6"/>
    <w:rsid w:val="62CE653B"/>
    <w:rsid w:val="62D84CC4"/>
    <w:rsid w:val="62EC0DA3"/>
    <w:rsid w:val="63BD3EBA"/>
    <w:rsid w:val="63CE4319"/>
    <w:rsid w:val="63F27284"/>
    <w:rsid w:val="64272C81"/>
    <w:rsid w:val="6461263B"/>
    <w:rsid w:val="646D1A7A"/>
    <w:rsid w:val="64D911C7"/>
    <w:rsid w:val="6500779B"/>
    <w:rsid w:val="65232544"/>
    <w:rsid w:val="653F6B42"/>
    <w:rsid w:val="65754BFD"/>
    <w:rsid w:val="65864EAB"/>
    <w:rsid w:val="65F3396B"/>
    <w:rsid w:val="66320B8F"/>
    <w:rsid w:val="663C37BC"/>
    <w:rsid w:val="66967370"/>
    <w:rsid w:val="66BE68C6"/>
    <w:rsid w:val="66EA76BB"/>
    <w:rsid w:val="67010C05"/>
    <w:rsid w:val="67204E8B"/>
    <w:rsid w:val="67582877"/>
    <w:rsid w:val="67957627"/>
    <w:rsid w:val="67FD51CC"/>
    <w:rsid w:val="680A1072"/>
    <w:rsid w:val="680C7430"/>
    <w:rsid w:val="683D77C1"/>
    <w:rsid w:val="689E1495"/>
    <w:rsid w:val="68B166E3"/>
    <w:rsid w:val="68C71A66"/>
    <w:rsid w:val="69126A56"/>
    <w:rsid w:val="691E6A93"/>
    <w:rsid w:val="696372B1"/>
    <w:rsid w:val="6970023A"/>
    <w:rsid w:val="69760C8C"/>
    <w:rsid w:val="69A01FFD"/>
    <w:rsid w:val="69CD0CB1"/>
    <w:rsid w:val="69DB5903"/>
    <w:rsid w:val="69E62B52"/>
    <w:rsid w:val="6A350C4E"/>
    <w:rsid w:val="6A8B2B69"/>
    <w:rsid w:val="6A926969"/>
    <w:rsid w:val="6AC63268"/>
    <w:rsid w:val="6AED45AA"/>
    <w:rsid w:val="6AF64881"/>
    <w:rsid w:val="6B3B056E"/>
    <w:rsid w:val="6B530B87"/>
    <w:rsid w:val="6B5438B1"/>
    <w:rsid w:val="6B6712DB"/>
    <w:rsid w:val="6B7D2CFA"/>
    <w:rsid w:val="6BA047ED"/>
    <w:rsid w:val="6C65147B"/>
    <w:rsid w:val="6CD62255"/>
    <w:rsid w:val="6D237483"/>
    <w:rsid w:val="6D31451D"/>
    <w:rsid w:val="6D7E46BA"/>
    <w:rsid w:val="6D7E59A8"/>
    <w:rsid w:val="6DB26CC5"/>
    <w:rsid w:val="6E0F421C"/>
    <w:rsid w:val="6E0F5E6A"/>
    <w:rsid w:val="6E361438"/>
    <w:rsid w:val="6E5B2C4D"/>
    <w:rsid w:val="6E66618C"/>
    <w:rsid w:val="6F3F5052"/>
    <w:rsid w:val="6F421950"/>
    <w:rsid w:val="6FA32AFD"/>
    <w:rsid w:val="6FAC3760"/>
    <w:rsid w:val="6FD20CED"/>
    <w:rsid w:val="6FFD1ECB"/>
    <w:rsid w:val="70310109"/>
    <w:rsid w:val="707B2FF0"/>
    <w:rsid w:val="70926DFA"/>
    <w:rsid w:val="70A370D3"/>
    <w:rsid w:val="70B328CC"/>
    <w:rsid w:val="70C70595"/>
    <w:rsid w:val="71094BE2"/>
    <w:rsid w:val="71306613"/>
    <w:rsid w:val="71834994"/>
    <w:rsid w:val="719460E0"/>
    <w:rsid w:val="71DB3005"/>
    <w:rsid w:val="71ED0060"/>
    <w:rsid w:val="7214383E"/>
    <w:rsid w:val="72223E96"/>
    <w:rsid w:val="722F2426"/>
    <w:rsid w:val="723D4B43"/>
    <w:rsid w:val="72B8066E"/>
    <w:rsid w:val="73117D7E"/>
    <w:rsid w:val="73130081"/>
    <w:rsid w:val="737A3B75"/>
    <w:rsid w:val="73BE7F06"/>
    <w:rsid w:val="74894C41"/>
    <w:rsid w:val="75B06B5B"/>
    <w:rsid w:val="75B66BDC"/>
    <w:rsid w:val="75BA6A9A"/>
    <w:rsid w:val="75EB18CD"/>
    <w:rsid w:val="760A5684"/>
    <w:rsid w:val="762A1E17"/>
    <w:rsid w:val="762B73A9"/>
    <w:rsid w:val="763444AF"/>
    <w:rsid w:val="763C3364"/>
    <w:rsid w:val="764F2F30"/>
    <w:rsid w:val="76B119A1"/>
    <w:rsid w:val="76B75B16"/>
    <w:rsid w:val="76DE403B"/>
    <w:rsid w:val="76FE31D8"/>
    <w:rsid w:val="77625FC5"/>
    <w:rsid w:val="77AF64E3"/>
    <w:rsid w:val="77B31545"/>
    <w:rsid w:val="78320EC2"/>
    <w:rsid w:val="783D1865"/>
    <w:rsid w:val="789B25C4"/>
    <w:rsid w:val="78C377F5"/>
    <w:rsid w:val="78D81144"/>
    <w:rsid w:val="78F04DF1"/>
    <w:rsid w:val="792718FA"/>
    <w:rsid w:val="797B41A3"/>
    <w:rsid w:val="79BA084C"/>
    <w:rsid w:val="79E955B1"/>
    <w:rsid w:val="7A6D7F90"/>
    <w:rsid w:val="7A8377B3"/>
    <w:rsid w:val="7AD60594"/>
    <w:rsid w:val="7AEF644D"/>
    <w:rsid w:val="7B024C42"/>
    <w:rsid w:val="7B445194"/>
    <w:rsid w:val="7B540847"/>
    <w:rsid w:val="7B8D7658"/>
    <w:rsid w:val="7BBD0AA3"/>
    <w:rsid w:val="7BEF32A2"/>
    <w:rsid w:val="7BF22E42"/>
    <w:rsid w:val="7C645384"/>
    <w:rsid w:val="7CF95B0B"/>
    <w:rsid w:val="7D6A6A08"/>
    <w:rsid w:val="7D790907"/>
    <w:rsid w:val="7DBFC059"/>
    <w:rsid w:val="7DC9294F"/>
    <w:rsid w:val="7DCC720B"/>
    <w:rsid w:val="7DE5C570"/>
    <w:rsid w:val="7E5366E6"/>
    <w:rsid w:val="7E591995"/>
    <w:rsid w:val="7EC12188"/>
    <w:rsid w:val="7EF95B73"/>
    <w:rsid w:val="7EFE1AFE"/>
    <w:rsid w:val="7F30419D"/>
    <w:rsid w:val="7F38184C"/>
    <w:rsid w:val="7F427C3D"/>
    <w:rsid w:val="7FF86BA7"/>
    <w:rsid w:val="7FFB1D78"/>
    <w:rsid w:val="9CBE058D"/>
    <w:rsid w:val="B4EDEAB2"/>
    <w:rsid w:val="B8E707B5"/>
    <w:rsid w:val="BBBF1D73"/>
    <w:rsid w:val="BD4FFA35"/>
    <w:rsid w:val="BEFFEA19"/>
    <w:rsid w:val="EF5FE8D8"/>
    <w:rsid w:val="EFBD9328"/>
    <w:rsid w:val="FAFB3C2F"/>
    <w:rsid w:val="FB6F82BC"/>
    <w:rsid w:val="FD77CA18"/>
    <w:rsid w:val="FEF4F10F"/>
    <w:rsid w:val="FFBB7CD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qFormat="1"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overflowPunct w:val="0"/>
    </w:pPr>
    <w:rPr>
      <w:rFonts w:asciiTheme="minorHAnsi" w:hAnsiTheme="minorHAnsi" w:eastAsiaTheme="minorEastAsia" w:cstheme="minorBidi"/>
      <w:kern w:val="2"/>
      <w:sz w:val="21"/>
      <w:szCs w:val="22"/>
      <w:lang w:val="en-US" w:eastAsia="zh-CN" w:bidi="ar-SA"/>
    </w:rPr>
  </w:style>
  <w:style w:type="paragraph" w:styleId="3">
    <w:name w:val="heading 1"/>
    <w:basedOn w:val="1"/>
    <w:autoRedefine/>
    <w:qFormat/>
    <w:uiPriority w:val="9"/>
    <w:pPr>
      <w:keepNext/>
      <w:keepLines/>
      <w:jc w:val="center"/>
      <w:outlineLvl w:val="0"/>
    </w:pPr>
    <w:rPr>
      <w:b/>
      <w:bCs/>
      <w:sz w:val="36"/>
      <w:szCs w:val="44"/>
    </w:rPr>
  </w:style>
  <w:style w:type="paragraph" w:styleId="4">
    <w:name w:val="heading 2"/>
    <w:basedOn w:val="1"/>
    <w:next w:val="1"/>
    <w:link w:val="72"/>
    <w:autoRedefine/>
    <w:qFormat/>
    <w:uiPriority w:val="9"/>
    <w:pPr>
      <w:keepNext/>
      <w:keepLines/>
      <w:spacing w:line="360" w:lineRule="auto"/>
      <w:outlineLvl w:val="1"/>
    </w:pPr>
    <w:rPr>
      <w:rFonts w:ascii="Arial" w:hAnsi="Arial" w:eastAsia="宋体" w:cs="Times New Roman"/>
      <w:b/>
      <w:bCs/>
      <w:sz w:val="24"/>
      <w:szCs w:val="32"/>
    </w:rPr>
  </w:style>
  <w:style w:type="paragraph" w:styleId="5">
    <w:name w:val="heading 3"/>
    <w:basedOn w:val="1"/>
    <w:next w:val="1"/>
    <w:link w:val="49"/>
    <w:autoRedefine/>
    <w:unhideWhenUsed/>
    <w:qFormat/>
    <w:uiPriority w:val="9"/>
    <w:pPr>
      <w:keepNext/>
      <w:keepLines/>
      <w:spacing w:before="260" w:after="260" w:line="415" w:lineRule="auto"/>
      <w:outlineLvl w:val="2"/>
    </w:pPr>
    <w:rPr>
      <w:rFonts w:ascii="Calibri" w:hAnsi="Calibri" w:eastAsia="宋体" w:cs="Times New Roman"/>
      <w:b/>
      <w:bCs/>
      <w:sz w:val="32"/>
      <w:szCs w:val="32"/>
    </w:rPr>
  </w:style>
  <w:style w:type="paragraph" w:styleId="6">
    <w:name w:val="heading 4"/>
    <w:basedOn w:val="1"/>
    <w:next w:val="1"/>
    <w:link w:val="50"/>
    <w:autoRedefine/>
    <w:unhideWhenUsed/>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rPr>
  </w:style>
  <w:style w:type="paragraph" w:styleId="8">
    <w:name w:val="toc 7"/>
    <w:basedOn w:val="1"/>
    <w:next w:val="1"/>
    <w:autoRedefine/>
    <w:qFormat/>
    <w:uiPriority w:val="39"/>
    <w:pPr>
      <w:ind w:left="1440"/>
    </w:pPr>
    <w:rPr>
      <w:rFonts w:ascii="Calibri" w:hAnsi="Calibri" w:eastAsia="宋体" w:cs="Times New Roman"/>
      <w:sz w:val="18"/>
      <w:szCs w:val="18"/>
    </w:rPr>
  </w:style>
  <w:style w:type="paragraph" w:styleId="9">
    <w:name w:val="caption"/>
    <w:basedOn w:val="1"/>
    <w:next w:val="1"/>
    <w:autoRedefine/>
    <w:qFormat/>
    <w:uiPriority w:val="35"/>
    <w:pPr>
      <w:spacing w:before="152" w:after="160"/>
    </w:pPr>
    <w:rPr>
      <w:rFonts w:ascii="Arial" w:hAnsi="Arial" w:eastAsia="黑体" w:cs="Arial"/>
      <w:sz w:val="20"/>
      <w:szCs w:val="20"/>
    </w:rPr>
  </w:style>
  <w:style w:type="paragraph" w:styleId="10">
    <w:name w:val="Document Map"/>
    <w:basedOn w:val="1"/>
    <w:autoRedefine/>
    <w:qFormat/>
    <w:uiPriority w:val="0"/>
    <w:pPr>
      <w:shd w:val="clear" w:color="auto" w:fill="000080"/>
    </w:pPr>
    <w:rPr>
      <w:sz w:val="24"/>
    </w:rPr>
  </w:style>
  <w:style w:type="paragraph" w:styleId="11">
    <w:name w:val="toa heading"/>
    <w:basedOn w:val="1"/>
    <w:next w:val="1"/>
    <w:autoRedefine/>
    <w:qFormat/>
    <w:uiPriority w:val="99"/>
    <w:pPr>
      <w:spacing w:before="120"/>
    </w:pPr>
    <w:rPr>
      <w:rFonts w:ascii="Arial" w:hAnsi="Arial" w:eastAsia="宋体" w:cs="Arial"/>
      <w:sz w:val="24"/>
      <w:szCs w:val="24"/>
    </w:rPr>
  </w:style>
  <w:style w:type="paragraph" w:styleId="12">
    <w:name w:val="annotation text"/>
    <w:basedOn w:val="1"/>
    <w:autoRedefine/>
    <w:qFormat/>
    <w:uiPriority w:val="0"/>
  </w:style>
  <w:style w:type="paragraph" w:styleId="13">
    <w:name w:val="index 6"/>
    <w:basedOn w:val="1"/>
    <w:next w:val="1"/>
    <w:autoRedefine/>
    <w:qFormat/>
    <w:uiPriority w:val="0"/>
    <w:rPr>
      <w:rFonts w:ascii="宋体" w:hAnsi="宋体"/>
      <w:color w:val="000000" w:themeColor="text1"/>
      <w:sz w:val="20"/>
      <w:szCs w:val="20"/>
      <w14:textFill>
        <w14:solidFill>
          <w14:schemeClr w14:val="tx1"/>
        </w14:solidFill>
      </w14:textFill>
    </w:rPr>
  </w:style>
  <w:style w:type="paragraph" w:styleId="14">
    <w:name w:val="Body Text"/>
    <w:basedOn w:val="1"/>
    <w:autoRedefine/>
    <w:qFormat/>
    <w:uiPriority w:val="99"/>
    <w:pPr>
      <w:spacing w:before="120" w:after="120" w:line="280" w:lineRule="atLeast"/>
      <w:textAlignment w:val="baseline"/>
    </w:pPr>
    <w:rPr>
      <w:rFonts w:ascii="Calibri" w:hAnsi="Calibri" w:eastAsia="新宋体" w:cs="Times New Roman"/>
      <w:szCs w:val="21"/>
    </w:rPr>
  </w:style>
  <w:style w:type="paragraph" w:styleId="15">
    <w:name w:val="Body Text Indent"/>
    <w:basedOn w:val="1"/>
    <w:autoRedefine/>
    <w:qFormat/>
    <w:uiPriority w:val="99"/>
    <w:pPr>
      <w:spacing w:after="120"/>
      <w:ind w:left="420"/>
    </w:pPr>
    <w:rPr>
      <w:rFonts w:ascii="Calibri" w:hAnsi="Calibri" w:eastAsia="宋体" w:cs="Times New Roman"/>
      <w:szCs w:val="20"/>
    </w:rPr>
  </w:style>
  <w:style w:type="paragraph" w:styleId="16">
    <w:name w:val="index 4"/>
    <w:basedOn w:val="1"/>
    <w:next w:val="1"/>
    <w:autoRedefine/>
    <w:qFormat/>
    <w:uiPriority w:val="0"/>
    <w:pPr>
      <w:ind w:left="600"/>
    </w:pPr>
  </w:style>
  <w:style w:type="paragraph" w:styleId="17">
    <w:name w:val="toc 5"/>
    <w:basedOn w:val="1"/>
    <w:next w:val="1"/>
    <w:qFormat/>
    <w:uiPriority w:val="39"/>
    <w:pPr>
      <w:ind w:left="960"/>
    </w:pPr>
    <w:rPr>
      <w:rFonts w:ascii="Calibri" w:hAnsi="Calibri" w:eastAsia="宋体" w:cs="Times New Roman"/>
      <w:sz w:val="18"/>
      <w:szCs w:val="18"/>
    </w:rPr>
  </w:style>
  <w:style w:type="paragraph" w:styleId="18">
    <w:name w:val="toc 3"/>
    <w:basedOn w:val="1"/>
    <w:next w:val="1"/>
    <w:qFormat/>
    <w:uiPriority w:val="39"/>
    <w:pPr>
      <w:ind w:left="480"/>
    </w:pPr>
    <w:rPr>
      <w:rFonts w:ascii="Calibri" w:hAnsi="Calibri" w:eastAsia="宋体" w:cs="Times New Roman"/>
      <w:i/>
      <w:iCs/>
      <w:sz w:val="20"/>
      <w:szCs w:val="20"/>
    </w:rPr>
  </w:style>
  <w:style w:type="paragraph" w:styleId="19">
    <w:name w:val="toc 8"/>
    <w:basedOn w:val="1"/>
    <w:next w:val="1"/>
    <w:qFormat/>
    <w:uiPriority w:val="39"/>
    <w:pPr>
      <w:ind w:left="1680"/>
    </w:pPr>
    <w:rPr>
      <w:rFonts w:ascii="Calibri" w:hAnsi="Calibri" w:eastAsia="宋体" w:cs="Times New Roman"/>
      <w:sz w:val="18"/>
      <w:szCs w:val="18"/>
    </w:rPr>
  </w:style>
  <w:style w:type="paragraph" w:styleId="20">
    <w:name w:val="Date"/>
    <w:basedOn w:val="1"/>
    <w:next w:val="1"/>
    <w:autoRedefine/>
    <w:qFormat/>
    <w:uiPriority w:val="0"/>
    <w:pPr>
      <w:ind w:left="100"/>
    </w:pPr>
    <w:rPr>
      <w:sz w:val="24"/>
    </w:rPr>
  </w:style>
  <w:style w:type="paragraph" w:styleId="21">
    <w:name w:val="Body Text Indent 2"/>
    <w:basedOn w:val="1"/>
    <w:autoRedefine/>
    <w:qFormat/>
    <w:uiPriority w:val="0"/>
    <w:pPr>
      <w:spacing w:after="120" w:line="480" w:lineRule="auto"/>
      <w:ind w:left="420"/>
    </w:pPr>
  </w:style>
  <w:style w:type="paragraph" w:styleId="22">
    <w:name w:val="Balloon Text"/>
    <w:basedOn w:val="1"/>
    <w:autoRedefine/>
    <w:qFormat/>
    <w:uiPriority w:val="0"/>
    <w:rPr>
      <w:sz w:val="18"/>
    </w:rPr>
  </w:style>
  <w:style w:type="paragraph" w:styleId="23">
    <w:name w:val="footer"/>
    <w:basedOn w:val="1"/>
    <w:autoRedefine/>
    <w:qFormat/>
    <w:uiPriority w:val="99"/>
    <w:pPr>
      <w:tabs>
        <w:tab w:val="center" w:pos="4153"/>
        <w:tab w:val="right" w:pos="8306"/>
      </w:tabs>
      <w:snapToGrid w:val="0"/>
    </w:pPr>
    <w:rPr>
      <w:sz w:val="18"/>
    </w:rPr>
  </w:style>
  <w:style w:type="paragraph" w:styleId="24">
    <w:name w:val="envelope return"/>
    <w:basedOn w:val="1"/>
    <w:autoRedefine/>
    <w:qFormat/>
    <w:uiPriority w:val="0"/>
    <w:pPr>
      <w:snapToGrid w:val="0"/>
    </w:pPr>
    <w:rPr>
      <w:rFonts w:ascii="Arial" w:hAnsi="Arial"/>
    </w:rPr>
  </w:style>
  <w:style w:type="paragraph" w:styleId="25">
    <w:name w:val="header"/>
    <w:basedOn w:val="1"/>
    <w:autoRedefine/>
    <w:qFormat/>
    <w:uiPriority w:val="0"/>
    <w:pPr>
      <w:pBdr>
        <w:bottom w:val="single" w:color="000000" w:sz="6" w:space="1"/>
      </w:pBdr>
      <w:tabs>
        <w:tab w:val="center" w:pos="4153"/>
        <w:tab w:val="right" w:pos="8306"/>
      </w:tabs>
      <w:snapToGrid w:val="0"/>
      <w:jc w:val="center"/>
    </w:pPr>
    <w:rPr>
      <w:sz w:val="18"/>
    </w:rPr>
  </w:style>
  <w:style w:type="paragraph" w:styleId="26">
    <w:name w:val="toc 1"/>
    <w:basedOn w:val="1"/>
    <w:next w:val="1"/>
    <w:autoRedefine/>
    <w:qFormat/>
    <w:uiPriority w:val="39"/>
    <w:pPr>
      <w:spacing w:line="360" w:lineRule="auto"/>
    </w:pPr>
    <w:rPr>
      <w:rFonts w:ascii="宋体" w:hAnsi="宋体" w:eastAsia="宋体" w:cs="Times New Roman"/>
      <w:b/>
      <w:caps/>
      <w:color w:val="FF0000"/>
      <w:szCs w:val="21"/>
    </w:rPr>
  </w:style>
  <w:style w:type="paragraph" w:styleId="27">
    <w:name w:val="toc 4"/>
    <w:basedOn w:val="1"/>
    <w:next w:val="1"/>
    <w:autoRedefine/>
    <w:qFormat/>
    <w:uiPriority w:val="39"/>
    <w:pPr>
      <w:ind w:left="720"/>
    </w:pPr>
    <w:rPr>
      <w:rFonts w:ascii="Calibri" w:hAnsi="Calibri" w:eastAsia="宋体" w:cs="Times New Roman"/>
      <w:sz w:val="18"/>
      <w:szCs w:val="18"/>
    </w:rPr>
  </w:style>
  <w:style w:type="paragraph" w:styleId="28">
    <w:name w:val="List"/>
    <w:basedOn w:val="1"/>
    <w:autoRedefine/>
    <w:qFormat/>
    <w:uiPriority w:val="99"/>
    <w:pPr>
      <w:ind w:left="420" w:hanging="420"/>
    </w:pPr>
    <w:rPr>
      <w:rFonts w:ascii="Times New Roman" w:hAnsi="Times New Roman" w:eastAsia="宋体" w:cs="Times New Roman"/>
      <w:szCs w:val="20"/>
    </w:rPr>
  </w:style>
  <w:style w:type="paragraph" w:styleId="29">
    <w:name w:val="toc 6"/>
    <w:basedOn w:val="1"/>
    <w:next w:val="1"/>
    <w:autoRedefine/>
    <w:qFormat/>
    <w:uiPriority w:val="39"/>
    <w:pPr>
      <w:ind w:left="1200"/>
    </w:pPr>
    <w:rPr>
      <w:rFonts w:ascii="Calibri" w:hAnsi="Calibri" w:eastAsia="宋体" w:cs="Times New Roman"/>
      <w:sz w:val="18"/>
      <w:szCs w:val="18"/>
    </w:rPr>
  </w:style>
  <w:style w:type="paragraph" w:styleId="30">
    <w:name w:val="Body Text Indent 3"/>
    <w:basedOn w:val="1"/>
    <w:autoRedefine/>
    <w:qFormat/>
    <w:uiPriority w:val="0"/>
    <w:pPr>
      <w:spacing w:after="120"/>
      <w:ind w:left="420"/>
    </w:pPr>
    <w:rPr>
      <w:sz w:val="16"/>
    </w:rPr>
  </w:style>
  <w:style w:type="paragraph" w:styleId="31">
    <w:name w:val="index 9"/>
    <w:basedOn w:val="1"/>
    <w:next w:val="1"/>
    <w:autoRedefine/>
    <w:unhideWhenUsed/>
    <w:qFormat/>
    <w:uiPriority w:val="0"/>
    <w:pPr>
      <w:ind w:left="2520" w:hanging="280"/>
    </w:pPr>
    <w:rPr>
      <w:rFonts w:eastAsia="仿宋"/>
      <w:sz w:val="28"/>
    </w:rPr>
  </w:style>
  <w:style w:type="paragraph" w:styleId="32">
    <w:name w:val="toc 2"/>
    <w:basedOn w:val="1"/>
    <w:next w:val="1"/>
    <w:autoRedefine/>
    <w:unhideWhenUsed/>
    <w:qFormat/>
    <w:uiPriority w:val="39"/>
    <w:pPr>
      <w:ind w:left="420"/>
    </w:pPr>
    <w:rPr>
      <w:rFonts w:ascii="Calibri" w:hAnsi="Calibri" w:eastAsia="宋体" w:cs="Times New Roman"/>
      <w:szCs w:val="20"/>
    </w:rPr>
  </w:style>
  <w:style w:type="paragraph" w:styleId="33">
    <w:name w:val="toc 9"/>
    <w:basedOn w:val="1"/>
    <w:next w:val="1"/>
    <w:autoRedefine/>
    <w:qFormat/>
    <w:uiPriority w:val="39"/>
    <w:pPr>
      <w:ind w:left="1920"/>
    </w:pPr>
    <w:rPr>
      <w:rFonts w:ascii="Calibri" w:hAnsi="Calibri" w:eastAsia="宋体" w:cs="Times New Roman"/>
      <w:sz w:val="18"/>
      <w:szCs w:val="18"/>
    </w:rPr>
  </w:style>
  <w:style w:type="paragraph" w:styleId="34">
    <w:name w:val="Normal (Web)"/>
    <w:basedOn w:val="1"/>
    <w:autoRedefine/>
    <w:qFormat/>
    <w:uiPriority w:val="99"/>
    <w:rPr>
      <w:rFonts w:ascii="Calibri" w:hAnsi="Calibri" w:eastAsia="宋体" w:cs="Times New Roman"/>
      <w:sz w:val="24"/>
      <w:szCs w:val="20"/>
    </w:rPr>
  </w:style>
  <w:style w:type="paragraph" w:styleId="35">
    <w:name w:val="index 1"/>
    <w:basedOn w:val="1"/>
    <w:next w:val="1"/>
    <w:autoRedefine/>
    <w:qFormat/>
    <w:uiPriority w:val="99"/>
    <w:rPr>
      <w:rFonts w:ascii="Calibri" w:hAnsi="Calibri" w:eastAsia="宋体" w:cs="Times New Roman"/>
      <w:sz w:val="24"/>
      <w:szCs w:val="24"/>
    </w:rPr>
  </w:style>
  <w:style w:type="paragraph" w:styleId="36">
    <w:name w:val="Title"/>
    <w:basedOn w:val="1"/>
    <w:next w:val="1"/>
    <w:autoRedefine/>
    <w:qFormat/>
    <w:uiPriority w:val="0"/>
    <w:pPr>
      <w:spacing w:before="160" w:after="40" w:line="240" w:lineRule="atLeast"/>
      <w:ind w:left="425" w:hanging="425"/>
      <w:jc w:val="center"/>
      <w:outlineLvl w:val="0"/>
    </w:pPr>
    <w:rPr>
      <w:rFonts w:ascii="Arial" w:hAnsi="Arial"/>
      <w:b/>
      <w:sz w:val="32"/>
    </w:rPr>
  </w:style>
  <w:style w:type="paragraph" w:styleId="37">
    <w:name w:val="annotation subject"/>
    <w:basedOn w:val="12"/>
    <w:next w:val="12"/>
    <w:autoRedefine/>
    <w:qFormat/>
    <w:uiPriority w:val="0"/>
    <w:rPr>
      <w:b/>
    </w:rPr>
  </w:style>
  <w:style w:type="paragraph" w:styleId="38">
    <w:name w:val="Body Text First Indent 2"/>
    <w:basedOn w:val="15"/>
    <w:autoRedefine/>
    <w:semiHidden/>
    <w:qFormat/>
    <w:uiPriority w:val="99"/>
    <w:pPr>
      <w:spacing w:line="276" w:lineRule="auto"/>
      <w:ind w:firstLine="420"/>
    </w:pPr>
  </w:style>
  <w:style w:type="table" w:styleId="40">
    <w:name w:val="Table Grid"/>
    <w:basedOn w:val="39"/>
    <w:autoRedefine/>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22"/>
    <w:rPr>
      <w:b/>
    </w:rPr>
  </w:style>
  <w:style w:type="character" w:styleId="43">
    <w:name w:val="page number"/>
    <w:basedOn w:val="41"/>
    <w:autoRedefine/>
    <w:qFormat/>
    <w:uiPriority w:val="99"/>
    <w:rPr>
      <w:rFonts w:cs="Times New Roman"/>
    </w:rPr>
  </w:style>
  <w:style w:type="character" w:styleId="44">
    <w:name w:val="HTML Acronym"/>
    <w:basedOn w:val="41"/>
    <w:autoRedefine/>
    <w:qFormat/>
    <w:uiPriority w:val="99"/>
  </w:style>
  <w:style w:type="character" w:styleId="45">
    <w:name w:val="annotation reference"/>
    <w:basedOn w:val="41"/>
    <w:autoRedefine/>
    <w:qFormat/>
    <w:uiPriority w:val="99"/>
    <w:rPr>
      <w:sz w:val="21"/>
    </w:rPr>
  </w:style>
  <w:style w:type="character" w:customStyle="1" w:styleId="46">
    <w:name w:val="访问过的 Internet 链接"/>
    <w:basedOn w:val="41"/>
    <w:autoRedefine/>
    <w:qFormat/>
    <w:uiPriority w:val="99"/>
    <w:rPr>
      <w:color w:val="800080"/>
      <w:u w:val="single"/>
    </w:rPr>
  </w:style>
  <w:style w:type="character" w:customStyle="1" w:styleId="47">
    <w:name w:val="强调1"/>
    <w:autoRedefine/>
    <w:qFormat/>
    <w:uiPriority w:val="99"/>
    <w:rPr>
      <w:rFonts w:cs="Times New Roman"/>
      <w:color w:val="auto"/>
    </w:rPr>
  </w:style>
  <w:style w:type="character" w:customStyle="1" w:styleId="48">
    <w:name w:val="Internet 链接"/>
    <w:basedOn w:val="41"/>
    <w:autoRedefine/>
    <w:qFormat/>
    <w:uiPriority w:val="99"/>
    <w:rPr>
      <w:color w:val="1F4F88"/>
      <w:u w:val="none"/>
    </w:rPr>
  </w:style>
  <w:style w:type="character" w:customStyle="1" w:styleId="49">
    <w:name w:val="标题 3 字符1"/>
    <w:basedOn w:val="41"/>
    <w:link w:val="5"/>
    <w:autoRedefine/>
    <w:qFormat/>
    <w:uiPriority w:val="9"/>
    <w:rPr>
      <w:rFonts w:ascii="Calibri" w:hAnsi="Calibri" w:eastAsia="宋体" w:cs="Times New Roman"/>
      <w:b/>
      <w:bCs/>
      <w:kern w:val="2"/>
      <w:sz w:val="36"/>
      <w:szCs w:val="44"/>
    </w:rPr>
  </w:style>
  <w:style w:type="character" w:customStyle="1" w:styleId="50">
    <w:name w:val="标题 4 字符"/>
    <w:basedOn w:val="41"/>
    <w:link w:val="6"/>
    <w:autoRedefine/>
    <w:qFormat/>
    <w:uiPriority w:val="9"/>
    <w:rPr>
      <w:rFonts w:ascii="Arial" w:hAnsi="Arial" w:eastAsia="宋体" w:cs="Times New Roman"/>
      <w:b/>
      <w:bCs/>
      <w:sz w:val="24"/>
      <w:szCs w:val="32"/>
    </w:rPr>
  </w:style>
  <w:style w:type="character" w:customStyle="1" w:styleId="51">
    <w:name w:val="标题 3 字符"/>
    <w:basedOn w:val="41"/>
    <w:autoRedefine/>
    <w:semiHidden/>
    <w:qFormat/>
    <w:uiPriority w:val="9"/>
    <w:rPr>
      <w:rFonts w:ascii="Calibri" w:hAnsi="Calibri" w:eastAsia="宋体" w:cs="Times New Roman"/>
      <w:b/>
      <w:bCs/>
      <w:sz w:val="32"/>
      <w:szCs w:val="32"/>
    </w:rPr>
  </w:style>
  <w:style w:type="character" w:customStyle="1" w:styleId="52">
    <w:name w:val="Char Char3"/>
    <w:autoRedefine/>
    <w:qFormat/>
    <w:uiPriority w:val="0"/>
    <w:rPr>
      <w:rFonts w:ascii="宋体" w:hAnsi="宋体" w:eastAsia="宋体"/>
      <w:kern w:val="2"/>
      <w:sz w:val="21"/>
      <w:lang w:val="en-US" w:eastAsia="zh-CN"/>
    </w:rPr>
  </w:style>
  <w:style w:type="character" w:customStyle="1" w:styleId="53">
    <w:name w:val="正文文本缩进 2 字符"/>
    <w:autoRedefine/>
    <w:qFormat/>
    <w:locked/>
    <w:uiPriority w:val="0"/>
  </w:style>
  <w:style w:type="character" w:customStyle="1" w:styleId="54">
    <w:name w:val="批注主题 字符"/>
    <w:autoRedefine/>
    <w:qFormat/>
    <w:locked/>
    <w:uiPriority w:val="0"/>
    <w:rPr>
      <w:b/>
    </w:rPr>
  </w:style>
  <w:style w:type="character" w:customStyle="1" w:styleId="55">
    <w:name w:val="正文文本缩进 3 字符"/>
    <w:autoRedefine/>
    <w:qFormat/>
    <w:locked/>
    <w:uiPriority w:val="0"/>
    <w:rPr>
      <w:sz w:val="16"/>
    </w:rPr>
  </w:style>
  <w:style w:type="character" w:customStyle="1" w:styleId="56">
    <w:name w:val="纯文本 Char"/>
    <w:autoRedefine/>
    <w:qFormat/>
    <w:uiPriority w:val="0"/>
    <w:rPr>
      <w:rFonts w:ascii="宋体" w:hAnsi="宋体" w:eastAsia="宋体"/>
      <w:kern w:val="2"/>
      <w:sz w:val="21"/>
      <w:lang w:val="en-US" w:eastAsia="zh-CN"/>
    </w:rPr>
  </w:style>
  <w:style w:type="character" w:customStyle="1" w:styleId="57">
    <w:name w:val="Char Char2"/>
    <w:autoRedefine/>
    <w:qFormat/>
    <w:uiPriority w:val="0"/>
    <w:rPr>
      <w:rFonts w:ascii="宋体" w:hAnsi="宋体"/>
      <w:kern w:val="2"/>
      <w:sz w:val="21"/>
    </w:rPr>
  </w:style>
  <w:style w:type="character" w:customStyle="1" w:styleId="58">
    <w:name w:val="列出段落 字符"/>
    <w:autoRedefine/>
    <w:qFormat/>
    <w:locked/>
    <w:uiPriority w:val="34"/>
    <w:rPr>
      <w:sz w:val="22"/>
    </w:rPr>
  </w:style>
  <w:style w:type="character" w:customStyle="1" w:styleId="59">
    <w:name w:val="apple-converted-space"/>
    <w:basedOn w:val="41"/>
    <w:autoRedefine/>
    <w:qFormat/>
    <w:uiPriority w:val="0"/>
    <w:rPr>
      <w:rFonts w:cs="Times New Roman"/>
    </w:rPr>
  </w:style>
  <w:style w:type="character" w:customStyle="1" w:styleId="60">
    <w:name w:val="页眉 字符"/>
    <w:autoRedefine/>
    <w:qFormat/>
    <w:locked/>
    <w:uiPriority w:val="0"/>
    <w:rPr>
      <w:sz w:val="18"/>
    </w:rPr>
  </w:style>
  <w:style w:type="character" w:customStyle="1" w:styleId="61">
    <w:name w:val="BODY TEXT Char"/>
    <w:autoRedefine/>
    <w:qFormat/>
    <w:locked/>
    <w:uiPriority w:val="0"/>
    <w:rPr>
      <w:rFonts w:eastAsia="新宋体"/>
      <w:kern w:val="2"/>
      <w:sz w:val="21"/>
    </w:rPr>
  </w:style>
  <w:style w:type="character" w:customStyle="1" w:styleId="62">
    <w:name w:val="批注文字 字符"/>
    <w:autoRedefine/>
    <w:qFormat/>
    <w:locked/>
    <w:uiPriority w:val="0"/>
  </w:style>
  <w:style w:type="character" w:customStyle="1" w:styleId="63">
    <w:name w:val="标题 字符"/>
    <w:autoRedefine/>
    <w:qFormat/>
    <w:locked/>
    <w:uiPriority w:val="0"/>
    <w:rPr>
      <w:rFonts w:ascii="Arial" w:hAnsi="Arial"/>
      <w:b/>
      <w:sz w:val="32"/>
    </w:rPr>
  </w:style>
  <w:style w:type="character" w:customStyle="1" w:styleId="64">
    <w:name w:val="日期 字符"/>
    <w:autoRedefine/>
    <w:qFormat/>
    <w:locked/>
    <w:uiPriority w:val="0"/>
    <w:rPr>
      <w:sz w:val="24"/>
    </w:rPr>
  </w:style>
  <w:style w:type="character" w:customStyle="1" w:styleId="65">
    <w:name w:val="ATXT_Bullets Zchn"/>
    <w:autoRedefine/>
    <w:qFormat/>
    <w:locked/>
    <w:uiPriority w:val="99"/>
    <w:rPr>
      <w:rFonts w:ascii="Arial" w:hAnsi="Arial"/>
      <w:lang w:val="de-AT" w:eastAsia="zh-CN"/>
    </w:rPr>
  </w:style>
  <w:style w:type="character" w:customStyle="1" w:styleId="66">
    <w:name w:val="Char Char5"/>
    <w:autoRedefine/>
    <w:qFormat/>
    <w:uiPriority w:val="0"/>
    <w:rPr>
      <w:rFonts w:ascii="宋体" w:hAnsi="宋体" w:eastAsia="宋体"/>
      <w:kern w:val="2"/>
      <w:sz w:val="21"/>
      <w:lang w:val="en-US" w:eastAsia="zh-CN"/>
    </w:rPr>
  </w:style>
  <w:style w:type="character" w:customStyle="1" w:styleId="67">
    <w:name w:val="批注框文本 字符"/>
    <w:autoRedefine/>
    <w:qFormat/>
    <w:locked/>
    <w:uiPriority w:val="0"/>
    <w:rPr>
      <w:sz w:val="18"/>
    </w:rPr>
  </w:style>
  <w:style w:type="character" w:customStyle="1" w:styleId="68">
    <w:name w:val="批注文字 Char"/>
    <w:autoRedefine/>
    <w:qFormat/>
    <w:uiPriority w:val="0"/>
    <w:rPr>
      <w:kern w:val="2"/>
    </w:rPr>
  </w:style>
  <w:style w:type="character" w:customStyle="1" w:styleId="69">
    <w:name w:val="批注主题 Char"/>
    <w:autoRedefine/>
    <w:qFormat/>
    <w:uiPriority w:val="0"/>
    <w:rPr>
      <w:b/>
      <w:kern w:val="2"/>
    </w:rPr>
  </w:style>
  <w:style w:type="character" w:customStyle="1" w:styleId="70">
    <w:name w:val="文档结构图 字符"/>
    <w:autoRedefine/>
    <w:qFormat/>
    <w:locked/>
    <w:uiPriority w:val="0"/>
    <w:rPr>
      <w:sz w:val="24"/>
      <w:shd w:val="clear" w:color="auto" w:fill="000080"/>
    </w:rPr>
  </w:style>
  <w:style w:type="character" w:customStyle="1" w:styleId="71">
    <w:name w:val="HTML Markup"/>
    <w:autoRedefine/>
    <w:qFormat/>
    <w:uiPriority w:val="0"/>
    <w:rPr>
      <w:vanish/>
      <w:color w:val="FF0000"/>
    </w:rPr>
  </w:style>
  <w:style w:type="character" w:customStyle="1" w:styleId="72">
    <w:name w:val="标题 2 字符"/>
    <w:link w:val="4"/>
    <w:autoRedefine/>
    <w:qFormat/>
    <w:locked/>
    <w:uiPriority w:val="0"/>
    <w:rPr>
      <w:rFonts w:ascii="宋体" w:hAnsi="宋体"/>
    </w:rPr>
  </w:style>
  <w:style w:type="character" w:customStyle="1" w:styleId="73">
    <w:name w:val="页脚 字符"/>
    <w:autoRedefine/>
    <w:qFormat/>
    <w:locked/>
    <w:uiPriority w:val="99"/>
    <w:rPr>
      <w:sz w:val="18"/>
    </w:rPr>
  </w:style>
  <w:style w:type="character" w:customStyle="1" w:styleId="74">
    <w:name w:val="Default Char"/>
    <w:autoRedefine/>
    <w:qFormat/>
    <w:locked/>
    <w:uiPriority w:val="0"/>
    <w:rPr>
      <w:rFonts w:ascii="仿宋_GB2312" w:hAnsi="仿宋_GB2312" w:eastAsia="仿宋_GB2312"/>
      <w:color w:val="000000"/>
      <w:sz w:val="24"/>
    </w:rPr>
  </w:style>
  <w:style w:type="character" w:customStyle="1" w:styleId="75">
    <w:name w:val="页脚 Char"/>
    <w:autoRedefine/>
    <w:qFormat/>
    <w:locked/>
    <w:uiPriority w:val="99"/>
    <w:rPr>
      <w:sz w:val="18"/>
    </w:rPr>
  </w:style>
  <w:style w:type="character" w:customStyle="1" w:styleId="76">
    <w:name w:val="批注文字 字符1"/>
    <w:basedOn w:val="41"/>
    <w:autoRedefine/>
    <w:semiHidden/>
    <w:qFormat/>
    <w:uiPriority w:val="99"/>
  </w:style>
  <w:style w:type="character" w:customStyle="1" w:styleId="77">
    <w:name w:val="批注文字 字符11"/>
    <w:basedOn w:val="41"/>
    <w:autoRedefine/>
    <w:qFormat/>
    <w:uiPriority w:val="0"/>
    <w:rPr>
      <w:rFonts w:cs="Times New Roman"/>
      <w:kern w:val="2"/>
      <w:sz w:val="21"/>
    </w:rPr>
  </w:style>
  <w:style w:type="character" w:customStyle="1" w:styleId="78">
    <w:name w:val="正文文本缩进 字符"/>
    <w:basedOn w:val="41"/>
    <w:autoRedefine/>
    <w:qFormat/>
    <w:uiPriority w:val="99"/>
    <w:rPr>
      <w:rFonts w:ascii="Calibri" w:hAnsi="Calibri" w:eastAsia="宋体" w:cs="Times New Roman"/>
      <w:szCs w:val="20"/>
    </w:rPr>
  </w:style>
  <w:style w:type="character" w:customStyle="1" w:styleId="79">
    <w:name w:val="文档结构图 字符1"/>
    <w:basedOn w:val="41"/>
    <w:autoRedefine/>
    <w:semiHidden/>
    <w:qFormat/>
    <w:uiPriority w:val="99"/>
    <w:rPr>
      <w:rFonts w:ascii="Microsoft YaHei UI" w:hAnsi="Microsoft YaHei UI" w:eastAsia="Microsoft YaHei UI"/>
      <w:sz w:val="18"/>
      <w:szCs w:val="18"/>
    </w:rPr>
  </w:style>
  <w:style w:type="character" w:customStyle="1" w:styleId="80">
    <w:name w:val="文档结构图 字符11"/>
    <w:basedOn w:val="41"/>
    <w:autoRedefine/>
    <w:semiHidden/>
    <w:qFormat/>
    <w:uiPriority w:val="99"/>
    <w:rPr>
      <w:rFonts w:ascii="Microsoft YaHei UI" w:hAnsi="Microsoft YaHei UI" w:eastAsia="Microsoft YaHei UI" w:cs="Times New Roman"/>
      <w:kern w:val="2"/>
      <w:sz w:val="18"/>
      <w:szCs w:val="18"/>
    </w:rPr>
  </w:style>
  <w:style w:type="character" w:customStyle="1" w:styleId="81">
    <w:name w:val="正文文本 字符"/>
    <w:basedOn w:val="41"/>
    <w:autoRedefine/>
    <w:qFormat/>
    <w:uiPriority w:val="99"/>
    <w:rPr>
      <w:rFonts w:ascii="Calibri" w:hAnsi="Calibri" w:eastAsia="新宋体" w:cs="Times New Roman"/>
      <w:szCs w:val="21"/>
    </w:rPr>
  </w:style>
  <w:style w:type="character" w:customStyle="1" w:styleId="82">
    <w:name w:val="纯文本 字符1"/>
    <w:basedOn w:val="41"/>
    <w:autoRedefine/>
    <w:semiHidden/>
    <w:qFormat/>
    <w:uiPriority w:val="99"/>
    <w:rPr>
      <w:rFonts w:hAnsi="等线" w:cs="Courier New" w:asciiTheme="minorEastAsia"/>
    </w:rPr>
  </w:style>
  <w:style w:type="character" w:customStyle="1" w:styleId="83">
    <w:name w:val="纯文本 字符11"/>
    <w:basedOn w:val="41"/>
    <w:autoRedefine/>
    <w:qFormat/>
    <w:uiPriority w:val="0"/>
    <w:rPr>
      <w:rFonts w:hAnsi="等线" w:cs="Courier New" w:asciiTheme="minorEastAsia" w:eastAsiaTheme="minorEastAsia"/>
      <w:kern w:val="2"/>
      <w:sz w:val="21"/>
    </w:rPr>
  </w:style>
  <w:style w:type="character" w:customStyle="1" w:styleId="84">
    <w:name w:val="页眉 字符1"/>
    <w:basedOn w:val="41"/>
    <w:autoRedefine/>
    <w:semiHidden/>
    <w:qFormat/>
    <w:uiPriority w:val="99"/>
    <w:rPr>
      <w:sz w:val="18"/>
      <w:szCs w:val="18"/>
    </w:rPr>
  </w:style>
  <w:style w:type="character" w:customStyle="1" w:styleId="85">
    <w:name w:val="页眉 字符11"/>
    <w:basedOn w:val="41"/>
    <w:autoRedefine/>
    <w:semiHidden/>
    <w:qFormat/>
    <w:uiPriority w:val="99"/>
    <w:rPr>
      <w:rFonts w:cs="Times New Roman"/>
      <w:kern w:val="2"/>
      <w:sz w:val="18"/>
      <w:szCs w:val="18"/>
    </w:rPr>
  </w:style>
  <w:style w:type="character" w:customStyle="1" w:styleId="86">
    <w:name w:val="批注框文本 字符1"/>
    <w:basedOn w:val="41"/>
    <w:autoRedefine/>
    <w:semiHidden/>
    <w:qFormat/>
    <w:uiPriority w:val="99"/>
    <w:rPr>
      <w:sz w:val="18"/>
      <w:szCs w:val="18"/>
    </w:rPr>
  </w:style>
  <w:style w:type="character" w:customStyle="1" w:styleId="87">
    <w:name w:val="批注框文本 字符11"/>
    <w:basedOn w:val="41"/>
    <w:autoRedefine/>
    <w:semiHidden/>
    <w:qFormat/>
    <w:uiPriority w:val="99"/>
    <w:rPr>
      <w:rFonts w:cs="Times New Roman"/>
      <w:kern w:val="2"/>
      <w:sz w:val="18"/>
      <w:szCs w:val="18"/>
    </w:rPr>
  </w:style>
  <w:style w:type="character" w:customStyle="1" w:styleId="88">
    <w:name w:val="日期 字符1"/>
    <w:basedOn w:val="41"/>
    <w:autoRedefine/>
    <w:semiHidden/>
    <w:qFormat/>
    <w:uiPriority w:val="99"/>
  </w:style>
  <w:style w:type="character" w:customStyle="1" w:styleId="89">
    <w:name w:val="日期 字符11"/>
    <w:basedOn w:val="41"/>
    <w:link w:val="90"/>
    <w:autoRedefine/>
    <w:semiHidden/>
    <w:qFormat/>
    <w:uiPriority w:val="99"/>
    <w:rPr>
      <w:rFonts w:cs="Times New Roman"/>
      <w:kern w:val="2"/>
      <w:sz w:val="21"/>
    </w:rPr>
  </w:style>
  <w:style w:type="paragraph" w:customStyle="1" w:styleId="90">
    <w:name w:val="标书正文格式"/>
    <w:basedOn w:val="2"/>
    <w:link w:val="89"/>
    <w:autoRedefine/>
    <w:qFormat/>
    <w:uiPriority w:val="0"/>
    <w:pPr>
      <w:spacing w:line="360" w:lineRule="auto"/>
      <w:ind w:firstLine="200"/>
    </w:pPr>
    <w:rPr>
      <w:color w:val="000000"/>
      <w:sz w:val="24"/>
      <w:szCs w:val="24"/>
    </w:rPr>
  </w:style>
  <w:style w:type="character" w:customStyle="1" w:styleId="91">
    <w:name w:val="页脚 字符1"/>
    <w:basedOn w:val="41"/>
    <w:autoRedefine/>
    <w:semiHidden/>
    <w:qFormat/>
    <w:uiPriority w:val="99"/>
    <w:rPr>
      <w:sz w:val="18"/>
      <w:szCs w:val="18"/>
    </w:rPr>
  </w:style>
  <w:style w:type="character" w:customStyle="1" w:styleId="92">
    <w:name w:val="页脚 字符11"/>
    <w:basedOn w:val="41"/>
    <w:autoRedefine/>
    <w:semiHidden/>
    <w:qFormat/>
    <w:uiPriority w:val="99"/>
    <w:rPr>
      <w:rFonts w:cs="Times New Roman"/>
      <w:kern w:val="2"/>
      <w:sz w:val="18"/>
      <w:szCs w:val="18"/>
    </w:rPr>
  </w:style>
  <w:style w:type="character" w:customStyle="1" w:styleId="93">
    <w:name w:val="正文文本缩进 2 字符1"/>
    <w:basedOn w:val="41"/>
    <w:autoRedefine/>
    <w:semiHidden/>
    <w:qFormat/>
    <w:uiPriority w:val="99"/>
  </w:style>
  <w:style w:type="character" w:customStyle="1" w:styleId="94">
    <w:name w:val="正文文本缩进 2 字符11"/>
    <w:basedOn w:val="41"/>
    <w:autoRedefine/>
    <w:semiHidden/>
    <w:qFormat/>
    <w:uiPriority w:val="99"/>
    <w:rPr>
      <w:rFonts w:cs="Times New Roman"/>
      <w:kern w:val="2"/>
      <w:sz w:val="21"/>
    </w:rPr>
  </w:style>
  <w:style w:type="character" w:customStyle="1" w:styleId="95">
    <w:name w:val="正文文本缩进 3 字符1"/>
    <w:basedOn w:val="41"/>
    <w:autoRedefine/>
    <w:semiHidden/>
    <w:qFormat/>
    <w:uiPriority w:val="99"/>
    <w:rPr>
      <w:sz w:val="16"/>
      <w:szCs w:val="16"/>
    </w:rPr>
  </w:style>
  <w:style w:type="character" w:customStyle="1" w:styleId="96">
    <w:name w:val="正文文本缩进 3 字符11"/>
    <w:basedOn w:val="41"/>
    <w:autoRedefine/>
    <w:semiHidden/>
    <w:qFormat/>
    <w:uiPriority w:val="99"/>
    <w:rPr>
      <w:rFonts w:cs="Times New Roman"/>
      <w:kern w:val="2"/>
      <w:sz w:val="16"/>
      <w:szCs w:val="16"/>
    </w:rPr>
  </w:style>
  <w:style w:type="character" w:customStyle="1" w:styleId="97">
    <w:name w:val="批注主题 字符1"/>
    <w:basedOn w:val="76"/>
    <w:autoRedefine/>
    <w:semiHidden/>
    <w:qFormat/>
    <w:uiPriority w:val="99"/>
    <w:rPr>
      <w:b/>
      <w:bCs/>
    </w:rPr>
  </w:style>
  <w:style w:type="character" w:customStyle="1" w:styleId="98">
    <w:name w:val="批注主题 字符11"/>
    <w:basedOn w:val="77"/>
    <w:link w:val="99"/>
    <w:autoRedefine/>
    <w:semiHidden/>
    <w:qFormat/>
    <w:uiPriority w:val="99"/>
    <w:rPr>
      <w:rFonts w:cs="Times New Roman"/>
      <w:b/>
      <w:bCs/>
      <w:kern w:val="2"/>
      <w:sz w:val="21"/>
    </w:rPr>
  </w:style>
  <w:style w:type="paragraph" w:customStyle="1" w:styleId="99">
    <w:name w:val="标书二级标题"/>
    <w:basedOn w:val="4"/>
    <w:link w:val="98"/>
    <w:autoRedefine/>
    <w:qFormat/>
    <w:uiPriority w:val="0"/>
    <w:pPr>
      <w:spacing w:line="240" w:lineRule="auto"/>
    </w:pPr>
    <w:rPr>
      <w:rFonts w:ascii="宋体" w:hAnsi="宋体" w:eastAsia="黑体"/>
      <w:b w:val="0"/>
      <w:sz w:val="28"/>
      <w:szCs w:val="30"/>
    </w:rPr>
  </w:style>
  <w:style w:type="character" w:customStyle="1" w:styleId="100">
    <w:name w:val="标题 字符1"/>
    <w:basedOn w:val="41"/>
    <w:autoRedefine/>
    <w:qFormat/>
    <w:uiPriority w:val="10"/>
    <w:rPr>
      <w:rFonts w:asciiTheme="majorHAnsi" w:hAnsiTheme="majorHAnsi" w:eastAsiaTheme="majorEastAsia" w:cstheme="majorBidi"/>
      <w:b/>
      <w:bCs/>
      <w:sz w:val="32"/>
      <w:szCs w:val="32"/>
    </w:rPr>
  </w:style>
  <w:style w:type="character" w:customStyle="1" w:styleId="101">
    <w:name w:val="标题 字符11"/>
    <w:basedOn w:val="41"/>
    <w:link w:val="102"/>
    <w:autoRedefine/>
    <w:qFormat/>
    <w:uiPriority w:val="10"/>
    <w:rPr>
      <w:rFonts w:cs="Times New Roman" w:asciiTheme="majorHAnsi" w:hAnsiTheme="majorHAnsi" w:eastAsiaTheme="majorEastAsia"/>
      <w:b/>
      <w:bCs/>
      <w:kern w:val="2"/>
      <w:sz w:val="32"/>
      <w:szCs w:val="32"/>
    </w:rPr>
  </w:style>
  <w:style w:type="paragraph" w:customStyle="1" w:styleId="102">
    <w:name w:val="标书表格"/>
    <w:basedOn w:val="1"/>
    <w:link w:val="101"/>
    <w:autoRedefine/>
    <w:qFormat/>
    <w:uiPriority w:val="0"/>
    <w:pPr>
      <w:jc w:val="center"/>
    </w:pPr>
    <w:rPr>
      <w:rFonts w:ascii="Times New Roman" w:hAnsi="Times New Roman" w:eastAsia="宋体" w:cs="Times New Roman"/>
      <w:b/>
      <w:szCs w:val="20"/>
    </w:rPr>
  </w:style>
  <w:style w:type="character" w:customStyle="1" w:styleId="103">
    <w:name w:val="标书正文格式 字符"/>
    <w:autoRedefine/>
    <w:qFormat/>
    <w:locked/>
    <w:uiPriority w:val="0"/>
    <w:rPr>
      <w:rFonts w:ascii="宋体" w:hAnsi="宋体"/>
      <w:color w:val="000000"/>
      <w:sz w:val="24"/>
      <w:szCs w:val="24"/>
    </w:rPr>
  </w:style>
  <w:style w:type="character" w:customStyle="1" w:styleId="104">
    <w:name w:val="标书二级标题 字符"/>
    <w:autoRedefine/>
    <w:qFormat/>
    <w:locked/>
    <w:uiPriority w:val="0"/>
    <w:rPr>
      <w:rFonts w:ascii="宋体" w:hAnsi="宋体" w:eastAsia="黑体" w:cs="Times New Roman"/>
      <w:bCs/>
      <w:sz w:val="28"/>
      <w:szCs w:val="30"/>
    </w:rPr>
  </w:style>
  <w:style w:type="character" w:customStyle="1" w:styleId="105">
    <w:name w:val="标书表格 字符"/>
    <w:autoRedefine/>
    <w:qFormat/>
    <w:locked/>
    <w:uiPriority w:val="0"/>
    <w:rPr>
      <w:rFonts w:ascii="Times New Roman" w:hAnsi="Times New Roman" w:eastAsia="宋体" w:cs="Times New Roman"/>
      <w:b/>
      <w:szCs w:val="20"/>
    </w:rPr>
  </w:style>
  <w:style w:type="character" w:customStyle="1" w:styleId="106">
    <w:name w:val="标书三级标题 字符"/>
    <w:autoRedefine/>
    <w:qFormat/>
    <w:locked/>
    <w:uiPriority w:val="0"/>
    <w:rPr>
      <w:rFonts w:ascii="Times New Roman" w:hAnsi="Times New Roman" w:eastAsia="宋体" w:cs="Times New Roman"/>
      <w:b/>
      <w:bCs/>
      <w:color w:val="000000"/>
      <w:sz w:val="24"/>
      <w:szCs w:val="24"/>
    </w:rPr>
  </w:style>
  <w:style w:type="character" w:customStyle="1" w:styleId="107">
    <w:name w:val="标三级标题 字符"/>
    <w:autoRedefine/>
    <w:qFormat/>
    <w:locked/>
    <w:uiPriority w:val="0"/>
    <w:rPr>
      <w:b/>
      <w:color w:val="000000"/>
      <w:sz w:val="24"/>
    </w:rPr>
  </w:style>
  <w:style w:type="character" w:customStyle="1" w:styleId="108">
    <w:name w:val="标正文 字符"/>
    <w:autoRedefine/>
    <w:qFormat/>
    <w:locked/>
    <w:uiPriority w:val="0"/>
    <w:rPr>
      <w:rFonts w:ascii="宋体" w:hAnsi="宋体" w:eastAsia="宋体"/>
      <w:color w:val="000000"/>
      <w:sz w:val="24"/>
    </w:rPr>
  </w:style>
  <w:style w:type="character" w:customStyle="1" w:styleId="109">
    <w:name w:val="NormalCharacter"/>
    <w:autoRedefine/>
    <w:qFormat/>
    <w:uiPriority w:val="0"/>
  </w:style>
  <w:style w:type="character" w:customStyle="1" w:styleId="110">
    <w:name w:val="font61"/>
    <w:autoRedefine/>
    <w:qFormat/>
    <w:uiPriority w:val="0"/>
    <w:rPr>
      <w:rFonts w:ascii="宋体" w:hAnsi="宋体" w:eastAsia="宋体" w:cs="宋体"/>
      <w:color w:val="000000"/>
      <w:sz w:val="22"/>
      <w:szCs w:val="22"/>
      <w:u w:val="none"/>
    </w:rPr>
  </w:style>
  <w:style w:type="character" w:customStyle="1" w:styleId="111">
    <w:name w:val="索引链接"/>
    <w:autoRedefine/>
    <w:qFormat/>
    <w:uiPriority w:val="0"/>
  </w:style>
  <w:style w:type="paragraph" w:customStyle="1" w:styleId="112">
    <w:name w:val="标题样式"/>
    <w:basedOn w:val="1"/>
    <w:next w:val="14"/>
    <w:autoRedefine/>
    <w:qFormat/>
    <w:uiPriority w:val="0"/>
    <w:pPr>
      <w:keepNext/>
      <w:spacing w:before="240" w:after="120"/>
    </w:pPr>
    <w:rPr>
      <w:rFonts w:ascii="DejaVu Sans" w:hAnsi="DejaVu Sans" w:eastAsia="Noto Sans CJK SC" w:cs="Noto Sans CJK SC"/>
      <w:sz w:val="28"/>
      <w:szCs w:val="28"/>
    </w:rPr>
  </w:style>
  <w:style w:type="paragraph" w:customStyle="1" w:styleId="113">
    <w:name w:val="索引"/>
    <w:basedOn w:val="1"/>
    <w:autoRedefine/>
    <w:qFormat/>
    <w:uiPriority w:val="0"/>
    <w:pPr>
      <w:suppressLineNumbers/>
    </w:pPr>
    <w:rPr>
      <w:rFonts w:cs="Noto Sans CJK SC"/>
    </w:rPr>
  </w:style>
  <w:style w:type="paragraph" w:customStyle="1" w:styleId="114">
    <w:name w:val="页眉与页脚"/>
    <w:basedOn w:val="1"/>
    <w:autoRedefine/>
    <w:qFormat/>
    <w:uiPriority w:val="0"/>
  </w:style>
  <w:style w:type="paragraph" w:customStyle="1" w:styleId="115">
    <w:name w:val="列出段落1"/>
    <w:basedOn w:val="1"/>
    <w:autoRedefine/>
    <w:qFormat/>
    <w:uiPriority w:val="34"/>
    <w:pPr>
      <w:ind w:firstLine="420"/>
    </w:pPr>
    <w:rPr>
      <w:sz w:val="22"/>
    </w:rPr>
  </w:style>
  <w:style w:type="paragraph" w:customStyle="1" w:styleId="116">
    <w:name w:val="ATXT_Bullets"/>
    <w:autoRedefine/>
    <w:qFormat/>
    <w:uiPriority w:val="99"/>
    <w:pPr>
      <w:widowControl w:val="0"/>
      <w:tabs>
        <w:tab w:val="left" w:pos="360"/>
        <w:tab w:val="left" w:pos="2040"/>
      </w:tabs>
      <w:suppressAutoHyphens/>
      <w:ind w:left="1494"/>
      <w:jc w:val="both"/>
    </w:pPr>
    <w:rPr>
      <w:rFonts w:ascii="Arial" w:hAnsi="Arial" w:eastAsiaTheme="minorEastAsia" w:cstheme="minorBidi"/>
      <w:kern w:val="2"/>
      <w:sz w:val="21"/>
      <w:szCs w:val="22"/>
      <w:lang w:val="de-AT" w:eastAsia="zh-CN" w:bidi="ar-SA"/>
    </w:rPr>
  </w:style>
  <w:style w:type="paragraph" w:customStyle="1" w:styleId="117">
    <w:name w:val="Default"/>
    <w:autoRedefine/>
    <w:qFormat/>
    <w:uiPriority w:val="0"/>
    <w:pPr>
      <w:widowControl w:val="0"/>
      <w:suppressAutoHyphens/>
    </w:pPr>
    <w:rPr>
      <w:rFonts w:ascii="仿宋_GB2312" w:eastAsia="仿宋_GB2312" w:hAnsiTheme="minorHAnsi" w:cstheme="minorBidi"/>
      <w:color w:val="000000"/>
      <w:kern w:val="2"/>
      <w:sz w:val="24"/>
      <w:szCs w:val="22"/>
      <w:lang w:val="en-US" w:eastAsia="zh-CN" w:bidi="ar-SA"/>
    </w:rPr>
  </w:style>
  <w:style w:type="paragraph" w:customStyle="1" w:styleId="118">
    <w:name w:val="ATXT_Table"/>
    <w:basedOn w:val="1"/>
    <w:autoRedefine/>
    <w:qFormat/>
    <w:uiPriority w:val="0"/>
    <w:pPr>
      <w:widowControl/>
    </w:pPr>
    <w:rPr>
      <w:rFonts w:ascii="Arial" w:hAnsi="Arial" w:eastAsia="宋体" w:cs="Times New Roman"/>
      <w:kern w:val="0"/>
      <w:sz w:val="20"/>
      <w:szCs w:val="20"/>
      <w:lang w:val="de-DE" w:eastAsia="de-DE"/>
    </w:rPr>
  </w:style>
  <w:style w:type="paragraph" w:customStyle="1" w:styleId="119">
    <w:name w:val="1"/>
    <w:basedOn w:val="1"/>
    <w:autoRedefine/>
    <w:qFormat/>
    <w:uiPriority w:val="0"/>
    <w:pPr>
      <w:widowControl/>
      <w:spacing w:beforeAutospacing="1" w:afterAutospacing="1"/>
    </w:pPr>
    <w:rPr>
      <w:rFonts w:ascii="宋体" w:hAnsi="宋体" w:eastAsia="宋体" w:cs="Times New Roman"/>
      <w:kern w:val="0"/>
      <w:sz w:val="24"/>
      <w:szCs w:val="24"/>
    </w:rPr>
  </w:style>
  <w:style w:type="paragraph" w:customStyle="1" w:styleId="120">
    <w:name w:val="二级列表 Char"/>
    <w:basedOn w:val="1"/>
    <w:autoRedefine/>
    <w:qFormat/>
    <w:uiPriority w:val="0"/>
    <w:rPr>
      <w:rFonts w:ascii="Calibri" w:hAnsi="Calibri" w:eastAsia="宋体" w:cs="Times New Roman"/>
      <w:szCs w:val="20"/>
    </w:rPr>
  </w:style>
  <w:style w:type="paragraph" w:customStyle="1" w:styleId="121">
    <w:name w:val="2"/>
    <w:basedOn w:val="1"/>
    <w:autoRedefine/>
    <w:qFormat/>
    <w:uiPriority w:val="0"/>
    <w:pPr>
      <w:widowControl/>
      <w:spacing w:after="160" w:line="240" w:lineRule="exact"/>
    </w:pPr>
    <w:rPr>
      <w:rFonts w:ascii="Arial" w:hAnsi="Arial" w:eastAsia="宋体" w:cs="Verdana"/>
      <w:b/>
      <w:kern w:val="0"/>
      <w:sz w:val="24"/>
      <w:szCs w:val="24"/>
      <w:lang w:eastAsia="en-US" w:bidi="th-TH"/>
    </w:rPr>
  </w:style>
  <w:style w:type="paragraph" w:customStyle="1" w:styleId="122">
    <w:name w:val="1列"/>
    <w:basedOn w:val="1"/>
    <w:autoRedefine/>
    <w:qFormat/>
    <w:uiPriority w:val="0"/>
    <w:pPr>
      <w:spacing w:line="360" w:lineRule="auto"/>
      <w:ind w:left="401" w:hanging="401"/>
    </w:pPr>
    <w:rPr>
      <w:rFonts w:ascii="Calibri" w:hAnsi="Calibri" w:eastAsia="宋体" w:cs="Times New Roman"/>
      <w:szCs w:val="24"/>
    </w:rPr>
  </w:style>
  <w:style w:type="paragraph" w:customStyle="1" w:styleId="123">
    <w:name w:val="ATXT_Standard"/>
    <w:autoRedefine/>
    <w:qFormat/>
    <w:uiPriority w:val="99"/>
    <w:pPr>
      <w:widowControl w:val="0"/>
      <w:suppressAutoHyphens/>
      <w:ind w:left="1134"/>
      <w:jc w:val="both"/>
    </w:pPr>
    <w:rPr>
      <w:rFonts w:ascii="Arial" w:hAnsi="Arial" w:eastAsia="宋体" w:cs="Arial"/>
      <w:lang w:val="en-US" w:eastAsia="zh-CN" w:bidi="ar-SA"/>
    </w:rPr>
  </w:style>
  <w:style w:type="paragraph" w:customStyle="1" w:styleId="124">
    <w:name w:val="Char Char3 Char Char Char Char Char Char Char"/>
    <w:basedOn w:val="1"/>
    <w:autoRedefine/>
    <w:qFormat/>
    <w:uiPriority w:val="0"/>
    <w:pPr>
      <w:widowControl/>
      <w:tabs>
        <w:tab w:val="left" w:pos="425"/>
      </w:tabs>
      <w:spacing w:after="160" w:line="240" w:lineRule="exact"/>
      <w:ind w:left="425" w:hanging="425"/>
    </w:pPr>
    <w:rPr>
      <w:rFonts w:ascii="Verdana" w:hAnsi="Verdana" w:eastAsia="宋体" w:cs="Times New Roman"/>
      <w:kern w:val="0"/>
      <w:sz w:val="20"/>
      <w:szCs w:val="20"/>
      <w:lang w:eastAsia="en-US"/>
    </w:rPr>
  </w:style>
  <w:style w:type="paragraph" w:customStyle="1" w:styleId="125">
    <w:name w:val="Char Char Char Char Char Char Char"/>
    <w:basedOn w:val="1"/>
    <w:autoRedefine/>
    <w:qFormat/>
    <w:uiPriority w:val="0"/>
    <w:rPr>
      <w:rFonts w:ascii="Verdana" w:hAnsi="Verdana" w:eastAsia="宋体" w:cs="Times New Roman"/>
      <w:kern w:val="0"/>
      <w:sz w:val="20"/>
      <w:szCs w:val="20"/>
      <w:lang w:eastAsia="en-US"/>
    </w:rPr>
  </w:style>
  <w:style w:type="paragraph" w:customStyle="1" w:styleId="126">
    <w:name w:val="正文1"/>
    <w:basedOn w:val="1"/>
    <w:autoRedefine/>
    <w:qFormat/>
    <w:uiPriority w:val="0"/>
    <w:pPr>
      <w:spacing w:line="312" w:lineRule="atLeast"/>
    </w:pPr>
    <w:rPr>
      <w:rFonts w:ascii="楷体_GB2312" w:hAnsi="楷体_GB2312" w:eastAsia="楷体_GB2312" w:cs="Times New Roman"/>
      <w:kern w:val="0"/>
      <w:sz w:val="24"/>
      <w:szCs w:val="20"/>
    </w:rPr>
  </w:style>
  <w:style w:type="paragraph" w:customStyle="1" w:styleId="127">
    <w:name w:val="Char Char Char Char Char Char1 Char"/>
    <w:basedOn w:val="1"/>
    <w:autoRedefine/>
    <w:qFormat/>
    <w:uiPriority w:val="0"/>
    <w:pPr>
      <w:widowControl/>
      <w:spacing w:after="160" w:line="240" w:lineRule="exact"/>
    </w:pPr>
    <w:rPr>
      <w:rFonts w:ascii="Arial" w:hAnsi="Arial" w:eastAsia="宋体" w:cs="Verdana"/>
      <w:b/>
      <w:kern w:val="0"/>
      <w:sz w:val="24"/>
      <w:szCs w:val="24"/>
      <w:lang w:eastAsia="en-US" w:bidi="th-TH"/>
    </w:rPr>
  </w:style>
  <w:style w:type="paragraph" w:customStyle="1" w:styleId="128">
    <w:name w:val="Pied"/>
    <w:basedOn w:val="1"/>
    <w:autoRedefine/>
    <w:qFormat/>
    <w:uiPriority w:val="0"/>
    <w:pPr>
      <w:tabs>
        <w:tab w:val="center" w:pos="4252"/>
        <w:tab w:val="right" w:pos="8504"/>
      </w:tabs>
      <w:ind w:left="284" w:right="284"/>
      <w:jc w:val="center"/>
    </w:pPr>
    <w:rPr>
      <w:rFonts w:ascii="Calibri" w:hAnsi="Calibri" w:eastAsia="宋体" w:cs="Times New Roman"/>
      <w:b/>
      <w:color w:val="000000"/>
      <w:sz w:val="16"/>
      <w:szCs w:val="24"/>
      <w:lang w:val="fr-FR" w:eastAsia="fr-FR"/>
    </w:rPr>
  </w:style>
  <w:style w:type="paragraph" w:customStyle="1" w:styleId="129">
    <w:name w:val="AVL_Continuous_normal"/>
    <w:autoRedefine/>
    <w:qFormat/>
    <w:uiPriority w:val="99"/>
    <w:pPr>
      <w:widowControl w:val="0"/>
      <w:suppressAutoHyphens/>
    </w:pPr>
    <w:rPr>
      <w:rFonts w:ascii="Arial" w:hAnsi="Arial" w:eastAsia="宋体" w:cs="Arial"/>
      <w:color w:val="070000"/>
      <w:sz w:val="19"/>
      <w:szCs w:val="19"/>
      <w:lang w:val="de-AT" w:eastAsia="zh-CN" w:bidi="th-TH"/>
    </w:rPr>
  </w:style>
  <w:style w:type="paragraph" w:customStyle="1" w:styleId="130">
    <w:name w:val="标书三级标题"/>
    <w:basedOn w:val="5"/>
    <w:next w:val="90"/>
    <w:qFormat/>
    <w:uiPriority w:val="0"/>
    <w:pPr>
      <w:spacing w:before="0" w:after="0" w:line="240" w:lineRule="auto"/>
      <w:ind w:firstLine="482"/>
    </w:pPr>
    <w:rPr>
      <w:rFonts w:ascii="Times New Roman" w:hAnsi="Times New Roman"/>
      <w:color w:val="000000"/>
      <w:sz w:val="24"/>
      <w:szCs w:val="24"/>
    </w:rPr>
  </w:style>
  <w:style w:type="paragraph" w:customStyle="1" w:styleId="131">
    <w:name w:val="标三级标题"/>
    <w:basedOn w:val="130"/>
    <w:qFormat/>
    <w:uiPriority w:val="0"/>
    <w:rPr>
      <w:rFonts w:asciiTheme="minorHAnsi" w:hAnsiTheme="minorHAnsi" w:eastAsiaTheme="minorEastAsia" w:cstheme="minorBidi"/>
      <w:bCs w:val="0"/>
      <w:szCs w:val="22"/>
    </w:rPr>
  </w:style>
  <w:style w:type="paragraph" w:customStyle="1" w:styleId="132">
    <w:name w:val="标正文"/>
    <w:basedOn w:val="90"/>
    <w:qFormat/>
    <w:uiPriority w:val="0"/>
    <w:pPr>
      <w:ind w:firstLine="480"/>
    </w:pPr>
    <w:rPr>
      <w:rFonts w:eastAsia="宋体" w:hAnsiTheme="minorHAnsi"/>
      <w:szCs w:val="22"/>
    </w:rPr>
  </w:style>
  <w:style w:type="paragraph" w:customStyle="1" w:styleId="133">
    <w:name w:val="TOC 标题1"/>
    <w:basedOn w:val="3"/>
    <w:next w:val="1"/>
    <w:unhideWhenUsed/>
    <w:qFormat/>
    <w:uiPriority w:val="39"/>
    <w:pPr>
      <w:widowControl/>
      <w:spacing w:before="240" w:line="259" w:lineRule="auto"/>
      <w:jc w:val="left"/>
    </w:pPr>
    <w:rPr>
      <w:rFonts w:ascii="等线 Light" w:hAnsi="等线 Light" w:eastAsia="等线 Light"/>
      <w:b w:val="0"/>
      <w:bCs w:val="0"/>
      <w:color w:val="2E74B5"/>
      <w:kern w:val="0"/>
      <w:sz w:val="32"/>
      <w:szCs w:val="32"/>
    </w:rPr>
  </w:style>
  <w:style w:type="paragraph" w:customStyle="1" w:styleId="134">
    <w:name w:val="HR正文表格"/>
    <w:basedOn w:val="1"/>
    <w:autoRedefine/>
    <w:qFormat/>
    <w:uiPriority w:val="0"/>
    <w:pPr>
      <w:spacing w:line="300" w:lineRule="auto"/>
    </w:pPr>
    <w:rPr>
      <w:szCs w:val="24"/>
    </w:rPr>
  </w:style>
  <w:style w:type="paragraph" w:styleId="135">
    <w:name w:val="List Paragraph"/>
    <w:basedOn w:val="1"/>
    <w:qFormat/>
    <w:uiPriority w:val="99"/>
    <w:pPr>
      <w:ind w:firstLine="420"/>
    </w:pPr>
  </w:style>
  <w:style w:type="paragraph" w:customStyle="1" w:styleId="136">
    <w:name w:val="WPSOffice手动目录 1"/>
    <w:qFormat/>
    <w:uiPriority w:val="0"/>
    <w:pPr>
      <w:suppressAutoHyphens/>
    </w:pPr>
    <w:rPr>
      <w:rFonts w:ascii="Times New Roman" w:hAnsi="Times New Roman" w:eastAsia="宋体" w:cs="Times New Roman"/>
      <w:lang w:val="en-US" w:eastAsia="zh-CN" w:bidi="ar-SA"/>
    </w:rPr>
  </w:style>
  <w:style w:type="paragraph" w:customStyle="1" w:styleId="137">
    <w:name w:val="Table Paragraph"/>
    <w:basedOn w:val="1"/>
    <w:qFormat/>
    <w:uiPriority w:val="1"/>
    <w:rPr>
      <w:rFonts w:ascii="宋体" w:hAnsi="宋体" w:eastAsia="宋体" w:cs="宋体"/>
    </w:rPr>
  </w:style>
  <w:style w:type="paragraph" w:customStyle="1" w:styleId="138">
    <w:name w:val="标书一级标题"/>
    <w:basedOn w:val="3"/>
    <w:qFormat/>
    <w:uiPriority w:val="0"/>
    <w:rPr>
      <w:rFonts w:eastAsia="黑体"/>
      <w:b w:val="0"/>
      <w:color w:val="000000"/>
      <w:sz w:val="30"/>
      <w:szCs w:val="24"/>
    </w:rPr>
  </w:style>
  <w:style w:type="paragraph" w:customStyle="1" w:styleId="139">
    <w:name w:val="框架内容"/>
    <w:basedOn w:val="1"/>
    <w:qFormat/>
    <w:uiPriority w:val="0"/>
  </w:style>
  <w:style w:type="table" w:customStyle="1" w:styleId="1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78AEE-57DA-421E-977A-A773B784875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10529</Words>
  <Characters>11069</Characters>
  <Lines>82</Lines>
  <Paragraphs>23</Paragraphs>
  <TotalTime>4</TotalTime>
  <ScaleCrop>false</ScaleCrop>
  <LinksUpToDate>false</LinksUpToDate>
  <CharactersWithSpaces>11252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2021-05-29T09:26:00Z</dcterms:created>
  <dc:creator>ZQNet</dc:creator>
  <cp:lastModifiedBy>沈学军</cp:lastModifiedBy>
  <cp:lastPrinted>2022-07-02T03:19:00Z</cp:lastPrinted>
  <dcterms:modified xsi:type="dcterms:W3CDTF">2024-12-02T03:36:23Z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B76BD2D2EFAD4720BCED378B2E9443EB_13</vt:lpwstr>
  </property>
  <property fmtid="{D5CDD505-2E9C-101B-9397-08002B2CF9AE}" pid="3" name="KSOProductBuildVer">
    <vt:lpwstr>2052-12.1.0.18276</vt:lpwstr>
  </property>
</Properties>
</file>